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02A" w:rsidRDefault="00AC4A55" w:rsidP="00AC4A55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734050" cy="9156167"/>
            <wp:effectExtent l="0" t="0" r="0" b="0"/>
            <wp:docPr id="1" name="Drawing 0" descr="d089c462a4692d8920910c1c759968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089c462a4692d8920910c1c75996883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2A" w:rsidRPr="00AC4A55" w:rsidRDefault="00AC4A55">
      <w:pPr>
        <w:spacing w:before="120" w:after="120" w:line="336" w:lineRule="auto"/>
        <w:jc w:val="center"/>
        <w:rPr>
          <w:sz w:val="32"/>
          <w:szCs w:val="32"/>
        </w:rPr>
      </w:pPr>
      <w:r w:rsidRPr="00AC4A55">
        <w:rPr>
          <w:rFonts w:ascii="DejaVu Serif Bold" w:eastAsia="DejaVu Serif Bold" w:hAnsi="DejaVu Serif Bold" w:cs="DejaVu Serif Bold"/>
          <w:b/>
          <w:bCs/>
          <w:color w:val="000000"/>
          <w:sz w:val="32"/>
          <w:szCs w:val="32"/>
        </w:rPr>
        <w:lastRenderedPageBreak/>
        <w:t xml:space="preserve">BORÇLAR KANUNU GENEL HÜKÜMLER SÜRELER </w:t>
      </w:r>
    </w:p>
    <w:p w:rsidR="0001202A" w:rsidRDefault="00AC4A55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734050" cy="198085"/>
            <wp:effectExtent l="0" t="0" r="0" b="0"/>
            <wp:docPr id="2" name="Drawing 1" descr="c5262e63-2c8c-416b-bf62-6efd8087106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5262e63-2c8c-416b-bf62-6efd8087106b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2A" w:rsidRDefault="00AC4A55">
      <w:pPr>
        <w:numPr>
          <w:ilvl w:val="0"/>
          <w:numId w:val="1"/>
        </w:numPr>
        <w:spacing w:after="0" w:line="377" w:lineRule="auto"/>
        <w:jc w:val="both"/>
      </w:pPr>
      <w:r>
        <w:rPr>
          <w:rFonts w:ascii="Dosis Bold" w:eastAsia="Dosis Bold" w:hAnsi="Dosis Bold" w:cs="Dosis Bold"/>
          <w:b/>
          <w:bCs/>
          <w:color w:val="000000"/>
        </w:rPr>
        <w:t>Aşırı yararlanma</w:t>
      </w:r>
      <w:r>
        <w:rPr>
          <w:rFonts w:ascii="Dosis" w:eastAsia="Dosis" w:hAnsi="Dosis" w:cs="Dosis"/>
          <w:color w:val="000000"/>
        </w:rPr>
        <w:t xml:space="preserve">, Zarar gören bu hakkını, düşüncesizlik veya deneyimsizliğini öğrendiği; zor durumda kalmada ise, bu durumun ortadan kalktığı tarihten başlayarak </w:t>
      </w:r>
      <w:r>
        <w:rPr>
          <w:rFonts w:ascii="Dosis Bold" w:eastAsia="Dosis Bold" w:hAnsi="Dosis Bold" w:cs="Dosis Bold"/>
          <w:b/>
          <w:bCs/>
          <w:color w:val="000000"/>
        </w:rPr>
        <w:t>1 YIL</w:t>
      </w:r>
      <w:r>
        <w:rPr>
          <w:rFonts w:ascii="Dosis" w:eastAsia="Dosis" w:hAnsi="Dosis" w:cs="Dosis"/>
          <w:color w:val="000000"/>
        </w:rPr>
        <w:t xml:space="preserve"> ve her hâlde sözleşmenin kurulduğu tarihten başlayarak </w:t>
      </w:r>
      <w:r>
        <w:rPr>
          <w:rFonts w:ascii="Dosis Bold" w:eastAsia="Dosis Bold" w:hAnsi="Dosis Bold" w:cs="Dosis Bold"/>
          <w:b/>
          <w:bCs/>
          <w:color w:val="000000"/>
        </w:rPr>
        <w:t xml:space="preserve">5 YIL </w:t>
      </w:r>
      <w:r>
        <w:rPr>
          <w:rFonts w:ascii="Dosis" w:eastAsia="Dosis" w:hAnsi="Dosis" w:cs="Dosis"/>
          <w:color w:val="000000"/>
        </w:rPr>
        <w:t xml:space="preserve">içinde kullanabilir. </w:t>
      </w:r>
    </w:p>
    <w:p w:rsidR="0001202A" w:rsidRDefault="00AC4A55">
      <w:pPr>
        <w:numPr>
          <w:ilvl w:val="0"/>
          <w:numId w:val="1"/>
        </w:numPr>
        <w:spacing w:after="0" w:line="377" w:lineRule="auto"/>
        <w:jc w:val="both"/>
      </w:pPr>
      <w:r>
        <w:rPr>
          <w:rFonts w:ascii="Dosis Bold" w:eastAsia="Dosis Bold" w:hAnsi="Dosis Bold" w:cs="Dosis Bold"/>
          <w:b/>
          <w:bCs/>
          <w:color w:val="000000"/>
        </w:rPr>
        <w:t>Yanılma</w:t>
      </w:r>
      <w:r>
        <w:rPr>
          <w:rFonts w:ascii="Dosis" w:eastAsia="Dosis" w:hAnsi="Dosis" w:cs="Dosis"/>
          <w:color w:val="000000"/>
        </w:rPr>
        <w:t xml:space="preserve"> veya </w:t>
      </w:r>
      <w:r>
        <w:rPr>
          <w:rFonts w:ascii="Dosis Bold" w:eastAsia="Dosis Bold" w:hAnsi="Dosis Bold" w:cs="Dosis Bold"/>
          <w:b/>
          <w:bCs/>
          <w:color w:val="000000"/>
        </w:rPr>
        <w:t xml:space="preserve">aldatma </w:t>
      </w:r>
      <w:r>
        <w:rPr>
          <w:rFonts w:ascii="Dosis" w:eastAsia="Dosis" w:hAnsi="Dosis" w:cs="Dosis"/>
          <w:color w:val="000000"/>
        </w:rPr>
        <w:t xml:space="preserve">sebebiyle ya da </w:t>
      </w:r>
      <w:r>
        <w:rPr>
          <w:rFonts w:ascii="Dosis Bold" w:eastAsia="Dosis Bold" w:hAnsi="Dosis Bold" w:cs="Dosis Bold"/>
          <w:b/>
          <w:bCs/>
          <w:color w:val="000000"/>
        </w:rPr>
        <w:t xml:space="preserve">korkutulma </w:t>
      </w:r>
      <w:r>
        <w:rPr>
          <w:rFonts w:ascii="Dosis" w:eastAsia="Dosis" w:hAnsi="Dosis" w:cs="Dosis"/>
          <w:color w:val="000000"/>
        </w:rPr>
        <w:t xml:space="preserve">sonucunda sözleşme yapan taraf, yanılma veya aldatmayı öğrendiği ya da korkutmanın etkisinin ortadan kalktığı andan başlayarak </w:t>
      </w:r>
      <w:r>
        <w:rPr>
          <w:rFonts w:ascii="Dosis Bold" w:eastAsia="Dosis Bold" w:hAnsi="Dosis Bold" w:cs="Dosis Bold"/>
          <w:b/>
          <w:bCs/>
          <w:color w:val="000000"/>
        </w:rPr>
        <w:t>1 YIL</w:t>
      </w:r>
      <w:r>
        <w:rPr>
          <w:rFonts w:ascii="Dosis" w:eastAsia="Dosis" w:hAnsi="Dosis" w:cs="Dosis"/>
          <w:color w:val="000000"/>
        </w:rPr>
        <w:t xml:space="preserve"> içinde sözleşme ile bağlı olmadığını bildirmez veya verdiği şeyi geri istemezse, sözleşmeyi onamış sayılır.  </w:t>
      </w:r>
    </w:p>
    <w:p w:rsidR="0001202A" w:rsidRDefault="00AC4A55">
      <w:pPr>
        <w:numPr>
          <w:ilvl w:val="0"/>
          <w:numId w:val="1"/>
        </w:numPr>
        <w:spacing w:after="0" w:line="377" w:lineRule="auto"/>
        <w:jc w:val="both"/>
      </w:pPr>
      <w:r>
        <w:rPr>
          <w:rFonts w:ascii="Dosis Bold" w:eastAsia="Dosis Bold" w:hAnsi="Dosis Bold" w:cs="Dosis Bold"/>
          <w:b/>
          <w:bCs/>
          <w:color w:val="000000"/>
        </w:rPr>
        <w:t>Haksız Fiillerden</w:t>
      </w:r>
      <w:r>
        <w:rPr>
          <w:rFonts w:ascii="Dosis" w:eastAsia="Dosis" w:hAnsi="Dosis" w:cs="Dosis"/>
          <w:color w:val="000000"/>
        </w:rPr>
        <w:t xml:space="preserve"> Doğan Borç İlişkileri, Tazminat istemi, zarar görenin zararı ve tazminat yükümlüsünü öğrendiği tarihten başlayarak </w:t>
      </w:r>
      <w:r>
        <w:rPr>
          <w:rFonts w:ascii="Dosis Bold" w:eastAsia="Dosis Bold" w:hAnsi="Dosis Bold" w:cs="Dosis Bold"/>
          <w:b/>
          <w:bCs/>
          <w:color w:val="000000"/>
        </w:rPr>
        <w:t>2 YIL</w:t>
      </w:r>
      <w:r>
        <w:rPr>
          <w:rFonts w:ascii="Dosis" w:eastAsia="Dosis" w:hAnsi="Dosis" w:cs="Dosis"/>
          <w:color w:val="000000"/>
        </w:rPr>
        <w:t xml:space="preserve">  ve her hâlde fiilin işlendiği tarihten başlayarak  </w:t>
      </w:r>
      <w:r>
        <w:rPr>
          <w:rFonts w:ascii="Dosis Bold" w:eastAsia="Dosis Bold" w:hAnsi="Dosis Bold" w:cs="Dosis Bold"/>
          <w:b/>
          <w:bCs/>
          <w:color w:val="000000"/>
        </w:rPr>
        <w:t>10 YIL</w:t>
      </w:r>
      <w:r>
        <w:rPr>
          <w:rFonts w:ascii="Dosis" w:eastAsia="Dosis" w:hAnsi="Dosis" w:cs="Dosis"/>
          <w:color w:val="000000"/>
        </w:rPr>
        <w:t xml:space="preserve">  geçmesiyle zamanaşımına uğrar.  </w:t>
      </w:r>
    </w:p>
    <w:p w:rsidR="0001202A" w:rsidRDefault="00AC4A55">
      <w:pPr>
        <w:numPr>
          <w:ilvl w:val="0"/>
          <w:numId w:val="1"/>
        </w:numPr>
        <w:spacing w:after="0" w:line="377" w:lineRule="auto"/>
        <w:jc w:val="both"/>
      </w:pPr>
      <w:r>
        <w:rPr>
          <w:rFonts w:ascii="Dosis Bold" w:eastAsia="Dosis Bold" w:hAnsi="Dosis Bold" w:cs="Dosis Bold"/>
          <w:b/>
          <w:bCs/>
          <w:color w:val="000000"/>
        </w:rPr>
        <w:t xml:space="preserve">Haksız Fiillerde Rücu talebinde, </w:t>
      </w:r>
      <w:r>
        <w:rPr>
          <w:rFonts w:ascii="Dosis" w:eastAsia="Dosis" w:hAnsi="Dosis" w:cs="Dosis"/>
          <w:color w:val="000000"/>
        </w:rPr>
        <w:t xml:space="preserve">tazminatın tamamının ödendiği ve birlikte sorumlu kişinin öğrenildiği tarihten başlayarak </w:t>
      </w:r>
      <w:r>
        <w:rPr>
          <w:rFonts w:ascii="Dosis Bold" w:eastAsia="Dosis Bold" w:hAnsi="Dosis Bold" w:cs="Dosis Bold"/>
          <w:b/>
          <w:bCs/>
          <w:color w:val="000000"/>
        </w:rPr>
        <w:t>2 YIL</w:t>
      </w:r>
      <w:r>
        <w:rPr>
          <w:rFonts w:ascii="Dosis" w:eastAsia="Dosis" w:hAnsi="Dosis" w:cs="Dosis"/>
          <w:color w:val="000000"/>
        </w:rPr>
        <w:t xml:space="preserve"> ve her hâlde tazminatın tamamının ödendiği tarihten başlayarak </w:t>
      </w:r>
      <w:r>
        <w:rPr>
          <w:rFonts w:ascii="Dosis Bold" w:eastAsia="Dosis Bold" w:hAnsi="Dosis Bold" w:cs="Dosis Bold"/>
          <w:b/>
          <w:bCs/>
          <w:color w:val="000000"/>
        </w:rPr>
        <w:t>10 YIL</w:t>
      </w:r>
      <w:r>
        <w:rPr>
          <w:rFonts w:ascii="Dosis" w:eastAsia="Dosis" w:hAnsi="Dosis" w:cs="Dosis"/>
          <w:color w:val="000000"/>
        </w:rPr>
        <w:t xml:space="preserve"> geçmesiyle zamanaşımına uğrar. </w:t>
      </w:r>
    </w:p>
    <w:p w:rsidR="0001202A" w:rsidRDefault="00AC4A55">
      <w:pPr>
        <w:numPr>
          <w:ilvl w:val="0"/>
          <w:numId w:val="1"/>
        </w:numPr>
        <w:spacing w:after="0" w:line="377" w:lineRule="auto"/>
        <w:jc w:val="both"/>
      </w:pPr>
      <w:r>
        <w:rPr>
          <w:rFonts w:ascii="Dosis Bold" w:eastAsia="Dosis Bold" w:hAnsi="Dosis Bold" w:cs="Dosis Bold"/>
          <w:b/>
          <w:bCs/>
          <w:color w:val="000000"/>
        </w:rPr>
        <w:t>Bedensel zararın kapsamı</w:t>
      </w:r>
      <w:r>
        <w:rPr>
          <w:rFonts w:ascii="Dosis" w:eastAsia="Dosis" w:hAnsi="Dosis" w:cs="Dosis"/>
          <w:color w:val="000000"/>
        </w:rPr>
        <w:t xml:space="preserve">, karar verme sırasında tam olarak belirlenemiyorsa hâkim, kararın kesinleşmesinden başlayarak </w:t>
      </w:r>
      <w:r>
        <w:rPr>
          <w:rFonts w:ascii="Dosis Bold" w:eastAsia="Dosis Bold" w:hAnsi="Dosis Bold" w:cs="Dosis Bold"/>
          <w:b/>
          <w:bCs/>
          <w:color w:val="000000"/>
        </w:rPr>
        <w:t xml:space="preserve">2  YIL </w:t>
      </w:r>
      <w:r>
        <w:rPr>
          <w:rFonts w:ascii="Dosis" w:eastAsia="Dosis" w:hAnsi="Dosis" w:cs="Dosis"/>
          <w:color w:val="000000"/>
        </w:rPr>
        <w:t xml:space="preserve">içinde, tazminat hükmünü değiştirme yetkisini saklı tutabilir. </w:t>
      </w:r>
    </w:p>
    <w:p w:rsidR="0001202A" w:rsidRDefault="00AC4A55">
      <w:pPr>
        <w:numPr>
          <w:ilvl w:val="0"/>
          <w:numId w:val="1"/>
        </w:numPr>
        <w:spacing w:after="0" w:line="377" w:lineRule="auto"/>
        <w:jc w:val="both"/>
      </w:pPr>
      <w:r>
        <w:rPr>
          <w:rFonts w:ascii="Dosis Bold" w:eastAsia="Dosis Bold" w:hAnsi="Dosis Bold" w:cs="Dosis Bold"/>
          <w:b/>
          <w:bCs/>
          <w:color w:val="000000"/>
        </w:rPr>
        <w:t>Sebepsiz zenginleşmeden doğan istem hakkı</w:t>
      </w:r>
      <w:r>
        <w:rPr>
          <w:rFonts w:ascii="Dosis" w:eastAsia="Dosis" w:hAnsi="Dosis" w:cs="Dosis"/>
          <w:color w:val="000000"/>
        </w:rPr>
        <w:t xml:space="preserve">, hak sahibinin geri isteme hakkı olduğunu öğrendiği tarihten başlayarak </w:t>
      </w:r>
      <w:r w:rsidR="00B45497">
        <w:rPr>
          <w:rFonts w:ascii="Dosis" w:eastAsia="Dosis" w:hAnsi="Dosis" w:cs="Dosis"/>
          <w:color w:val="000000"/>
        </w:rPr>
        <w:t xml:space="preserve"> </w:t>
      </w:r>
      <w:r w:rsidRPr="00B45497">
        <w:rPr>
          <w:rFonts w:ascii="Dosis" w:eastAsia="Dosis" w:hAnsi="Dosis" w:cs="Dosis"/>
          <w:b/>
          <w:color w:val="000000"/>
        </w:rPr>
        <w:t>2 YIL</w:t>
      </w:r>
      <w:r>
        <w:rPr>
          <w:rFonts w:ascii="Dosis" w:eastAsia="Dosis" w:hAnsi="Dosis" w:cs="Dosis"/>
          <w:color w:val="000000"/>
        </w:rPr>
        <w:t xml:space="preserve">  ve her hâlde zenginleşmenin ger</w:t>
      </w:r>
      <w:r w:rsidR="00B45497">
        <w:rPr>
          <w:rFonts w:ascii="Dosis" w:eastAsia="Dosis" w:hAnsi="Dosis" w:cs="Dosis"/>
          <w:color w:val="000000"/>
        </w:rPr>
        <w:t xml:space="preserve">çekleştiği tarihten başlayarak  </w:t>
      </w:r>
      <w:bookmarkStart w:id="0" w:name="_GoBack"/>
      <w:bookmarkEnd w:id="0"/>
      <w:r w:rsidRPr="00B45497">
        <w:rPr>
          <w:rFonts w:ascii="Dosis" w:eastAsia="Dosis" w:hAnsi="Dosis" w:cs="Dosis"/>
          <w:b/>
          <w:color w:val="000000"/>
        </w:rPr>
        <w:t>10 YIL</w:t>
      </w:r>
      <w:r w:rsidR="00B45497">
        <w:rPr>
          <w:rFonts w:ascii="Dosis" w:eastAsia="Dosis" w:hAnsi="Dosis" w:cs="Dosis"/>
          <w:b/>
          <w:color w:val="000000"/>
        </w:rPr>
        <w:t xml:space="preserve"> </w:t>
      </w:r>
      <w:r>
        <w:rPr>
          <w:rFonts w:ascii="Dosis" w:eastAsia="Dosis" w:hAnsi="Dosis" w:cs="Dosis"/>
          <w:color w:val="000000"/>
        </w:rPr>
        <w:t xml:space="preserve"> geçmesiyle zamanaşımına uğrar. </w:t>
      </w:r>
    </w:p>
    <w:p w:rsidR="0001202A" w:rsidRDefault="00AC4A55">
      <w:pPr>
        <w:numPr>
          <w:ilvl w:val="0"/>
          <w:numId w:val="1"/>
        </w:numPr>
        <w:spacing w:after="0" w:line="377" w:lineRule="auto"/>
        <w:jc w:val="both"/>
      </w:pPr>
      <w:r>
        <w:rPr>
          <w:rFonts w:ascii="Dosis" w:eastAsia="Dosis" w:hAnsi="Dosis" w:cs="Dosis"/>
          <w:color w:val="000000"/>
        </w:rPr>
        <w:t xml:space="preserve">Kanunda aksine bir hüküm bulunmadıkça, her alacak  </w:t>
      </w:r>
      <w:r>
        <w:rPr>
          <w:rFonts w:ascii="Dosis Bold" w:eastAsia="Dosis Bold" w:hAnsi="Dosis Bold" w:cs="Dosis Bold"/>
          <w:b/>
          <w:bCs/>
          <w:color w:val="000000"/>
        </w:rPr>
        <w:t>10 YILLIK</w:t>
      </w:r>
      <w:r>
        <w:rPr>
          <w:rFonts w:ascii="Dosis" w:eastAsia="Dosis" w:hAnsi="Dosis" w:cs="Dosis"/>
          <w:color w:val="000000"/>
        </w:rPr>
        <w:t xml:space="preserve">  zamanaşımına tabidir. </w:t>
      </w:r>
    </w:p>
    <w:p w:rsidR="00D22245" w:rsidRPr="00D22245" w:rsidRDefault="00AC4A55" w:rsidP="00F36392">
      <w:pPr>
        <w:numPr>
          <w:ilvl w:val="0"/>
          <w:numId w:val="1"/>
        </w:numPr>
        <w:spacing w:after="0" w:line="377" w:lineRule="auto"/>
        <w:jc w:val="both"/>
      </w:pPr>
      <w:r w:rsidRPr="00D22245">
        <w:rPr>
          <w:rFonts w:ascii="Dosis Bold" w:eastAsia="Dosis Bold" w:hAnsi="Dosis Bold" w:cs="Dosis Bold"/>
          <w:b/>
          <w:bCs/>
          <w:color w:val="000000"/>
        </w:rPr>
        <w:t>5 Yıllık zaman aşımları</w:t>
      </w:r>
      <w:r w:rsidRPr="00D22245">
        <w:rPr>
          <w:rFonts w:ascii="Dosis" w:eastAsia="Dosis" w:hAnsi="Dosis" w:cs="Dosis"/>
          <w:color w:val="000000"/>
        </w:rPr>
        <w:t xml:space="preserve"> şu şekildedir; </w:t>
      </w:r>
    </w:p>
    <w:p w:rsidR="0001202A" w:rsidRDefault="00D22245" w:rsidP="00F36392">
      <w:pPr>
        <w:numPr>
          <w:ilvl w:val="0"/>
          <w:numId w:val="1"/>
        </w:numPr>
        <w:spacing w:after="0" w:line="377" w:lineRule="auto"/>
        <w:jc w:val="both"/>
      </w:pPr>
      <w:r w:rsidRPr="00D22245">
        <w:rPr>
          <w:rFonts w:ascii="Cambria Math" w:eastAsia="Dosis" w:hAnsi="Cambria Math" w:cs="Cambria Math"/>
          <w:color w:val="000000"/>
        </w:rPr>
        <w:t>▶</w:t>
      </w:r>
      <w:r w:rsidR="00AC4A55" w:rsidRPr="00D22245">
        <w:rPr>
          <w:rFonts w:ascii="Dosis" w:eastAsia="Dosis" w:hAnsi="Dosis" w:cs="Dosis"/>
          <w:color w:val="000000"/>
        </w:rPr>
        <w:t xml:space="preserve">1. Kira bedelleri, anapara faizleri ve ücret gibi diğer dönemsel edimler. </w:t>
      </w:r>
    </w:p>
    <w:p w:rsidR="0001202A" w:rsidRDefault="00D22245" w:rsidP="00D22245">
      <w:pPr>
        <w:spacing w:after="0" w:line="377" w:lineRule="auto"/>
        <w:ind w:left="400"/>
        <w:jc w:val="both"/>
      </w:pPr>
      <w:r w:rsidRPr="00D22245">
        <w:rPr>
          <w:rFonts w:ascii="Cambria Math" w:eastAsia="Dosis" w:hAnsi="Cambria Math" w:cs="Cambria Math"/>
          <w:color w:val="000000"/>
        </w:rPr>
        <w:t>▶</w:t>
      </w:r>
      <w:r w:rsidR="00AC4A55">
        <w:rPr>
          <w:rFonts w:ascii="Dosis" w:eastAsia="Dosis" w:hAnsi="Dosis" w:cs="Dosis"/>
          <w:color w:val="000000"/>
        </w:rPr>
        <w:t xml:space="preserve">Otel, motel, pansiyon ve tatil köyü gibi yerlerdeki konaklama bedelleri ile lokanta ve benzeri yerlerdeki yeme içme bedelleri.  </w:t>
      </w:r>
    </w:p>
    <w:p w:rsidR="0001202A" w:rsidRDefault="00D22245" w:rsidP="00D22245">
      <w:pPr>
        <w:spacing w:after="0" w:line="377" w:lineRule="auto"/>
        <w:ind w:left="400"/>
        <w:jc w:val="both"/>
      </w:pPr>
      <w:r w:rsidRPr="00D22245">
        <w:rPr>
          <w:rFonts w:ascii="Cambria Math" w:eastAsia="Dosis" w:hAnsi="Cambria Math" w:cs="Cambria Math"/>
          <w:color w:val="000000"/>
        </w:rPr>
        <w:t>▶</w:t>
      </w:r>
      <w:r w:rsidR="00AC4A55">
        <w:rPr>
          <w:rFonts w:ascii="Dosis" w:eastAsia="Dosis" w:hAnsi="Dosis" w:cs="Dosis"/>
          <w:color w:val="000000"/>
        </w:rPr>
        <w:t xml:space="preserve">Küçük sanat işlerinden ve küçük çapta perakende satışlardan doğan alacaklar. </w:t>
      </w:r>
    </w:p>
    <w:p w:rsidR="0001202A" w:rsidRDefault="00D22245" w:rsidP="00D22245">
      <w:pPr>
        <w:spacing w:after="0" w:line="377" w:lineRule="auto"/>
        <w:ind w:left="400"/>
        <w:jc w:val="both"/>
      </w:pPr>
      <w:r w:rsidRPr="00D22245">
        <w:rPr>
          <w:rFonts w:ascii="Cambria Math" w:eastAsia="Dosis" w:hAnsi="Cambria Math" w:cs="Cambria Math"/>
          <w:color w:val="000000"/>
        </w:rPr>
        <w:t>▶</w:t>
      </w:r>
      <w:r w:rsidR="00AC4A55">
        <w:rPr>
          <w:rFonts w:ascii="Dosis" w:eastAsia="Dosis" w:hAnsi="Dosis" w:cs="Dosis"/>
          <w:color w:val="000000"/>
        </w:rPr>
        <w:t xml:space="preserve">Bir ortaklıkta, ortaklık sözleşmesinden doğan ve ortakların birbirleri veya kendileri ile ortaklık arasındaki; bir ortaklığın müdürleri, temsilcileri, denetçileri ile ortaklık veya ortaklar arasındaki alacaklar.  </w:t>
      </w:r>
    </w:p>
    <w:p w:rsidR="00AC4A55" w:rsidRPr="00AC4A55" w:rsidRDefault="00D22245" w:rsidP="00AC4A55">
      <w:pPr>
        <w:spacing w:after="0" w:line="377" w:lineRule="auto"/>
        <w:ind w:left="400"/>
        <w:jc w:val="both"/>
        <w:rPr>
          <w:rFonts w:ascii="Dosis" w:eastAsia="Dosis" w:hAnsi="Dosis" w:cs="Dosis"/>
          <w:color w:val="000000"/>
        </w:rPr>
      </w:pPr>
      <w:r w:rsidRPr="00D22245">
        <w:rPr>
          <w:rFonts w:ascii="Cambria Math" w:eastAsia="Dosis" w:hAnsi="Cambria Math" w:cs="Cambria Math"/>
          <w:color w:val="000000"/>
        </w:rPr>
        <w:t>▶</w:t>
      </w:r>
      <w:r w:rsidR="00AC4A55">
        <w:rPr>
          <w:rFonts w:ascii="Dosis" w:eastAsia="Dosis" w:hAnsi="Dosis" w:cs="Dosis"/>
          <w:color w:val="000000"/>
        </w:rPr>
        <w:t xml:space="preserve">Vekâlet, komisyon ve acentalık sözleşmelerinden, ticari simsarlık ücreti alacağı dışında, simsarlık sözleşmesinden doğan alacaklar. </w:t>
      </w:r>
    </w:p>
    <w:p w:rsidR="0001202A" w:rsidRDefault="00D22245" w:rsidP="00D22245">
      <w:pPr>
        <w:spacing w:after="0" w:line="377" w:lineRule="auto"/>
        <w:ind w:left="400"/>
        <w:jc w:val="both"/>
        <w:rPr>
          <w:rFonts w:ascii="Dosis" w:eastAsia="Dosis" w:hAnsi="Dosis" w:cs="Dosis"/>
          <w:color w:val="000000"/>
        </w:rPr>
      </w:pPr>
      <w:r w:rsidRPr="00D22245">
        <w:rPr>
          <w:rFonts w:ascii="Cambria Math" w:eastAsia="Dosis" w:hAnsi="Cambria Math" w:cs="Cambria Math"/>
          <w:color w:val="000000"/>
        </w:rPr>
        <w:t>▶</w:t>
      </w:r>
      <w:r w:rsidR="00AC4A55">
        <w:rPr>
          <w:rFonts w:ascii="Dosis" w:eastAsia="Dosis" w:hAnsi="Dosis" w:cs="Dosis"/>
          <w:color w:val="000000"/>
        </w:rPr>
        <w:t xml:space="preserve">Yüklenicinin yükümlülüklerini ağır kusuruyla hiç ya da gereği gibi ifa etmemesi dışında, eser sözleşmesinden doğan alacaklar.  </w:t>
      </w:r>
    </w:p>
    <w:p w:rsidR="00AC4A55" w:rsidRPr="00AC4A55" w:rsidRDefault="00AC4A55" w:rsidP="00AC4A55">
      <w:pPr>
        <w:spacing w:after="0" w:line="377" w:lineRule="auto"/>
        <w:ind w:left="400"/>
        <w:jc w:val="right"/>
        <w:rPr>
          <w:b/>
        </w:rPr>
      </w:pPr>
      <w:r w:rsidRPr="00AC4A55">
        <w:rPr>
          <w:rFonts w:ascii="Dosis" w:eastAsia="Dosis" w:hAnsi="Dosis" w:cs="Dosis"/>
          <w:b/>
          <w:color w:val="000000"/>
        </w:rPr>
        <w:lastRenderedPageBreak/>
        <w:t>SAYFA 2</w:t>
      </w:r>
    </w:p>
    <w:p w:rsidR="0001202A" w:rsidRDefault="00AC4A55">
      <w:pPr>
        <w:numPr>
          <w:ilvl w:val="0"/>
          <w:numId w:val="1"/>
        </w:numPr>
        <w:spacing w:after="0" w:line="377" w:lineRule="auto"/>
        <w:jc w:val="both"/>
      </w:pPr>
      <w:r>
        <w:rPr>
          <w:rFonts w:ascii="Dosis" w:eastAsia="Dosis" w:hAnsi="Dosis" w:cs="Dosis"/>
          <w:color w:val="000000"/>
        </w:rPr>
        <w:t xml:space="preserve">Borç bir senetle ikrar edilmiş veya bir mahkeme ya da hakem kararına bağlanmış ise, yeni süre her zaman </w:t>
      </w:r>
      <w:r>
        <w:rPr>
          <w:rFonts w:ascii="Dosis Bold" w:eastAsia="Dosis Bold" w:hAnsi="Dosis Bold" w:cs="Dosis Bold"/>
          <w:b/>
          <w:bCs/>
          <w:color w:val="000000"/>
        </w:rPr>
        <w:t>10 YIL</w:t>
      </w:r>
      <w:r>
        <w:rPr>
          <w:rFonts w:ascii="Dosis" w:eastAsia="Dosis" w:hAnsi="Dosis" w:cs="Dosis"/>
          <w:color w:val="000000"/>
        </w:rPr>
        <w:t xml:space="preserve">. </w:t>
      </w:r>
    </w:p>
    <w:p w:rsidR="0001202A" w:rsidRDefault="00AC4A55">
      <w:pPr>
        <w:numPr>
          <w:ilvl w:val="0"/>
          <w:numId w:val="1"/>
        </w:numPr>
        <w:spacing w:after="0" w:line="377" w:lineRule="auto"/>
        <w:jc w:val="both"/>
      </w:pPr>
      <w:r>
        <w:rPr>
          <w:rFonts w:ascii="Dosis" w:eastAsia="Dosis" w:hAnsi="Dosis" w:cs="Dosis"/>
          <w:color w:val="000000"/>
        </w:rPr>
        <w:t xml:space="preserve">Malvarlığının veya İşletmenin Devrinde Devredenin Müteselsil Sorumluluk Süresi, bildirim, ilan veya duyurması halinde , devreden ile birlikte devralanla birlikte borçlardan  </w:t>
      </w:r>
      <w:r>
        <w:rPr>
          <w:rFonts w:ascii="Dosis Bold" w:eastAsia="Dosis Bold" w:hAnsi="Dosis Bold" w:cs="Dosis Bold"/>
          <w:b/>
          <w:bCs/>
          <w:color w:val="000000"/>
        </w:rPr>
        <w:t>2 YIL</w:t>
      </w:r>
      <w:r>
        <w:rPr>
          <w:rFonts w:ascii="Dosis" w:eastAsia="Dosis" w:hAnsi="Dosis" w:cs="Dosis"/>
          <w:color w:val="000000"/>
        </w:rPr>
        <w:t xml:space="preserve"> müteselsil olarak sorumlu olurlar. </w:t>
      </w:r>
    </w:p>
    <w:p w:rsidR="0001202A" w:rsidRDefault="00AC4A55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5734050" cy="198085"/>
            <wp:effectExtent l="0" t="0" r="0" b="0"/>
            <wp:docPr id="3" name="Drawing 2" descr="c5262e63-2c8c-416b-bf62-6efd8087106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5262e63-2c8c-416b-bf62-6efd8087106b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2A" w:rsidRDefault="00AC4A55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1866541" cy="672627"/>
            <wp:effectExtent l="0" t="0" r="0" b="0"/>
            <wp:docPr id="4" name="Drawing 3" descr="a30104fcf851017bdbd31c8c984729b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30104fcf851017bdbd31c8c984729b0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6541" cy="67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2A" w:rsidRDefault="00D22245">
      <w:pPr>
        <w:spacing w:before="120" w:after="120" w:line="336" w:lineRule="auto"/>
        <w:jc w:val="both"/>
      </w:pPr>
      <w:r>
        <w:rPr>
          <w:rFonts w:ascii="Dosis Bold" w:eastAsia="Dosis Bold" w:hAnsi="Dosis Bold" w:cs="Dosis Bold"/>
          <w:b/>
          <w:bCs/>
          <w:color w:val="221F1F"/>
          <w:spacing w:val="-2"/>
        </w:rPr>
        <w:t xml:space="preserve">Borçlar Kanunu Genel Hükümler </w:t>
      </w:r>
      <w:r w:rsidR="00AC4A55">
        <w:rPr>
          <w:rFonts w:ascii="Dosis Bold" w:eastAsia="Dosis Bold" w:hAnsi="Dosis Bold" w:cs="Dosis Bold"/>
          <w:b/>
          <w:bCs/>
          <w:color w:val="221F1F"/>
          <w:spacing w:val="-2"/>
        </w:rPr>
        <w:t>Süreler,</w:t>
      </w:r>
      <w:r>
        <w:rPr>
          <w:rFonts w:ascii="Dosis" w:eastAsia="Dosis" w:hAnsi="Dosis" w:cs="Dosis"/>
          <w:color w:val="221F1F"/>
          <w:spacing w:val="-2"/>
        </w:rPr>
        <w:t xml:space="preserve"> </w:t>
      </w:r>
      <w:r w:rsidR="00AC4A55">
        <w:rPr>
          <w:rFonts w:ascii="Dosis" w:eastAsia="Dosis" w:hAnsi="Dosis" w:cs="Dosis"/>
          <w:color w:val="221F1F"/>
          <w:spacing w:val="-2"/>
        </w:rPr>
        <w:t xml:space="preserve">Hazırlanan süreler notları,  herhangi bir ticari kaygı gütmeden faydalı olması temennisiyle hazırlanmıştır. Zorlu İcra Müdür ve İcra Müdür Yardımcısı Sınav  sürecinde herkese başarılar dileriz.  </w:t>
      </w:r>
    </w:p>
    <w:p w:rsidR="0001202A" w:rsidRDefault="00AC4A55">
      <w:pPr>
        <w:spacing w:before="120" w:after="120" w:line="336" w:lineRule="auto"/>
        <w:jc w:val="both"/>
      </w:pPr>
      <w:r>
        <w:rPr>
          <w:rFonts w:ascii="Dosis Bold" w:eastAsia="Dosis Bold" w:hAnsi="Dosis Bold" w:cs="Dosis Bold"/>
          <w:b/>
          <w:bCs/>
          <w:color w:val="221F1F"/>
          <w:spacing w:val="-2"/>
        </w:rPr>
        <w:t xml:space="preserve">Daha fazla bilgi ve ders notları için sosyal medya hesaplarımızı takip edin.   </w:t>
      </w:r>
      <w:r>
        <w:rPr>
          <w:rFonts w:ascii="Dosis" w:eastAsia="Dosis" w:hAnsi="Dosis" w:cs="Dosis"/>
          <w:color w:val="221F1F"/>
          <w:spacing w:val="-2"/>
        </w:rPr>
        <w:t xml:space="preserve"> </w:t>
      </w:r>
    </w:p>
    <w:p w:rsidR="0001202A" w:rsidRDefault="00AC4A55">
      <w:pPr>
        <w:spacing w:before="120" w:after="120" w:line="336" w:lineRule="auto"/>
      </w:pPr>
      <w:r>
        <w:rPr>
          <w:rFonts w:ascii="Dosis Bold" w:eastAsia="Dosis Bold" w:hAnsi="Dosis Bold" w:cs="Dosis Bold"/>
          <w:b/>
          <w:bCs/>
          <w:color w:val="221F1F"/>
          <w:spacing w:val="-2"/>
        </w:rPr>
        <w:t xml:space="preserve"> Web Sitemiz</w:t>
      </w:r>
      <w:r>
        <w:rPr>
          <w:rFonts w:ascii="Dosis" w:eastAsia="Dosis" w:hAnsi="Dosis" w:cs="Dosis"/>
          <w:color w:val="221F1F"/>
          <w:spacing w:val="-2"/>
        </w:rPr>
        <w:t xml:space="preserve"> : https://icramuduru.com/         </w:t>
      </w:r>
      <w:r>
        <w:rPr>
          <w:rFonts w:ascii="Dosis Bold" w:eastAsia="Dosis Bold" w:hAnsi="Dosis Bold" w:cs="Dosis Bold"/>
          <w:b/>
          <w:bCs/>
          <w:color w:val="221F1F"/>
          <w:spacing w:val="-2"/>
        </w:rPr>
        <w:t xml:space="preserve"> İnstagram :</w:t>
      </w:r>
      <w:r>
        <w:rPr>
          <w:rFonts w:ascii="Dosis" w:eastAsia="Dosis" w:hAnsi="Dosis" w:cs="Dosis"/>
          <w:color w:val="221F1F"/>
          <w:spacing w:val="-2"/>
        </w:rPr>
        <w:t xml:space="preserve"> @icramudurucom</w:t>
      </w:r>
      <w:r>
        <w:rPr>
          <w:rFonts w:ascii="Times New Roman" w:eastAsia="Times New Roman" w:hAnsi="Times New Roman" w:cs="Times New Roman"/>
          <w:color w:val="FFFFFF"/>
          <w:spacing w:val="-10"/>
          <w:sz w:val="36"/>
          <w:szCs w:val="36"/>
        </w:rPr>
        <w:t xml:space="preserve"> </w:t>
      </w:r>
    </w:p>
    <w:sectPr w:rsidR="0001202A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DA6D05CC-5A8C-4F44-B539-ED4AF9151A84}"/>
    <w:embedBold r:id="rId2" w:fontKey="{9D391183-A49E-4305-9822-06C5BFE9D8A7}"/>
  </w:font>
  <w:font w:name="DejaVu Serif Bold">
    <w:altName w:val="Rockwell Extra Bold"/>
    <w:charset w:val="00"/>
    <w:family w:val="auto"/>
    <w:pitch w:val="default"/>
  </w:font>
  <w:font w:name="Dosis Bold">
    <w:charset w:val="00"/>
    <w:family w:val="auto"/>
    <w:pitch w:val="default"/>
    <w:embedBold r:id="rId3" w:fontKey="{6A1A31DE-9F2A-4CB7-B482-0870B30266EF}"/>
  </w:font>
  <w:font w:name="Dosis">
    <w:charset w:val="00"/>
    <w:family w:val="auto"/>
    <w:pitch w:val="default"/>
    <w:embedRegular r:id="rId4" w:fontKey="{1CFD9980-79D1-4121-A44B-4CAF7D704814}"/>
    <w:embedBold r:id="rId5" w:fontKey="{00386A40-F2D0-4D20-8148-8E102F46B0D3}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CB26E0D8-8C7A-4984-A7D1-192223D1F405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8944D6C3-5B16-4C4C-8977-9969B89265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4A0E48"/>
    <w:multiLevelType w:val="hybridMultilevel"/>
    <w:tmpl w:val="06CC226A"/>
    <w:lvl w:ilvl="0" w:tplc="C58E606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C382CC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F74075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4C26C2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022178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008DCA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7643B6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F1617E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96C65D6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02A"/>
    <w:rsid w:val="0001202A"/>
    <w:rsid w:val="00AC4A55"/>
    <w:rsid w:val="00B45497"/>
    <w:rsid w:val="00D2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627EF"/>
  <w15:docId w15:val="{DA74B07C-208D-4CD4-BF91-F3AAF8E01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T.C.Adalet Bakanlığı</Company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RAMAZAN KUL 158781</cp:lastModifiedBy>
  <cp:revision>3</cp:revision>
  <dcterms:created xsi:type="dcterms:W3CDTF">2024-10-27T06:26:00Z</dcterms:created>
  <dcterms:modified xsi:type="dcterms:W3CDTF">2024-10-27T06:34:00Z</dcterms:modified>
</cp:coreProperties>
</file>