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0D3" w:rsidRDefault="00405E23">
      <w:pPr>
        <w:spacing w:before="120" w:after="120"/>
        <w:jc w:val="center"/>
      </w:pPr>
      <w:r>
        <w:rPr>
          <w:noProof/>
        </w:rPr>
        <w:drawing>
          <wp:inline distT="0" distB="0" distL="0" distR="0">
            <wp:extent cx="5341481" cy="8529310"/>
            <wp:effectExtent l="0" t="0" r="0" b="0"/>
            <wp:docPr id="1" name="Drawing 0" descr="f38ad7052e994aaa369d42ad9994c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38ad7052e994aaa369d42ad9994c6c7.png"/>
                    <pic:cNvPicPr>
                      <a:picLocks noChangeAspect="1"/>
                    </pic:cNvPicPr>
                  </pic:nvPicPr>
                  <pic:blipFill>
                    <a:blip r:embed="rId5"/>
                    <a:stretch>
                      <a:fillRect/>
                    </a:stretch>
                  </pic:blipFill>
                  <pic:spPr>
                    <a:xfrm>
                      <a:off x="0" y="0"/>
                      <a:ext cx="5341481" cy="8529310"/>
                    </a:xfrm>
                    <a:prstGeom prst="rect">
                      <a:avLst/>
                    </a:prstGeom>
                  </pic:spPr>
                </pic:pic>
              </a:graphicData>
            </a:graphic>
          </wp:inline>
        </w:drawing>
      </w:r>
    </w:p>
    <w:p w:rsidR="000B60D3" w:rsidRDefault="00405E23">
      <w:pPr>
        <w:spacing w:before="120" w:after="120" w:line="336" w:lineRule="auto"/>
      </w:pPr>
      <w:r>
        <w:rPr>
          <w:rFonts w:ascii="DejaVu Serif Bold" w:eastAsia="DejaVu Serif Bold" w:hAnsi="DejaVu Serif Bold" w:cs="DejaVu Serif Bold"/>
          <w:b/>
          <w:bCs/>
          <w:color w:val="000000"/>
          <w:sz w:val="36"/>
          <w:szCs w:val="36"/>
        </w:rPr>
        <w:t xml:space="preserve">  </w:t>
      </w:r>
    </w:p>
    <w:p w:rsidR="000B60D3" w:rsidRDefault="00405E23">
      <w:pPr>
        <w:spacing w:before="120" w:after="120" w:line="336" w:lineRule="auto"/>
      </w:pPr>
      <w:r>
        <w:rPr>
          <w:rFonts w:ascii="DejaVu Serif Bold" w:eastAsia="DejaVu Serif Bold" w:hAnsi="DejaVu Serif Bold" w:cs="DejaVu Serif Bold"/>
          <w:b/>
          <w:bCs/>
          <w:color w:val="000000"/>
          <w:sz w:val="32"/>
          <w:szCs w:val="32"/>
        </w:rPr>
        <w:lastRenderedPageBreak/>
        <w:t xml:space="preserve"> </w:t>
      </w:r>
    </w:p>
    <w:p w:rsidR="000B60D3" w:rsidRDefault="00405E23">
      <w:pPr>
        <w:spacing w:before="120" w:after="120" w:line="336" w:lineRule="auto"/>
      </w:pPr>
      <w:r>
        <w:rPr>
          <w:rFonts w:ascii="DejaVu Serif Bold" w:eastAsia="DejaVu Serif Bold" w:hAnsi="DejaVu Serif Bold" w:cs="DejaVu Serif Bold"/>
          <w:b/>
          <w:bCs/>
          <w:color w:val="000000"/>
          <w:sz w:val="32"/>
          <w:szCs w:val="32"/>
        </w:rPr>
        <w:t xml:space="preserve"> </w:t>
      </w:r>
    </w:p>
    <w:p w:rsidR="000B60D3" w:rsidRDefault="00405E23">
      <w:pPr>
        <w:spacing w:before="120" w:after="120" w:line="336" w:lineRule="auto"/>
        <w:jc w:val="center"/>
      </w:pPr>
      <w:r>
        <w:rPr>
          <w:rFonts w:ascii="DejaVu Serif Bold" w:eastAsia="DejaVu Serif Bold" w:hAnsi="DejaVu Serif Bold" w:cs="DejaVu Serif Bold"/>
          <w:b/>
          <w:bCs/>
          <w:color w:val="000000"/>
          <w:sz w:val="32"/>
          <w:szCs w:val="32"/>
        </w:rPr>
        <w:t xml:space="preserve">HUKUK MUHAKEMELERİ KANUNU SÜRELER </w:t>
      </w:r>
    </w:p>
    <w:p w:rsidR="000B60D3" w:rsidRDefault="00405E23">
      <w:pPr>
        <w:spacing w:before="120" w:after="120"/>
        <w:jc w:val="center"/>
      </w:pPr>
      <w:r>
        <w:rPr>
          <w:noProof/>
        </w:rPr>
        <w:drawing>
          <wp:inline distT="0" distB="0" distL="0" distR="0">
            <wp:extent cx="5734050" cy="198085"/>
            <wp:effectExtent l="0" t="0" r="0" b="0"/>
            <wp:docPr id="2" name="Drawing 1" descr="9949009a-1d45-4476-a02c-219701360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49009a-1d45-4476-a02c-219701360ffa.png"/>
                    <pic:cNvPicPr>
                      <a:picLocks noChangeAspect="1"/>
                    </pic:cNvPicPr>
                  </pic:nvPicPr>
                  <pic:blipFill>
                    <a:blip r:embed="rId6"/>
                    <a:stretch>
                      <a:fillRect/>
                    </a:stretch>
                  </pic:blipFill>
                  <pic:spPr>
                    <a:xfrm>
                      <a:off x="0" y="0"/>
                      <a:ext cx="5734050" cy="198085"/>
                    </a:xfrm>
                    <a:prstGeom prst="rect">
                      <a:avLst/>
                    </a:prstGeom>
                  </pic:spPr>
                </pic:pic>
              </a:graphicData>
            </a:graphic>
          </wp:inline>
        </w:drawing>
      </w:r>
    </w:p>
    <w:p w:rsidR="000B60D3" w:rsidRDefault="00405E23">
      <w:pPr>
        <w:spacing w:before="120" w:after="120" w:line="377" w:lineRule="auto"/>
        <w:jc w:val="center"/>
      </w:pPr>
      <w:r>
        <w:rPr>
          <w:rFonts w:ascii="Dosis Bold" w:eastAsia="Dosis Bold" w:hAnsi="Dosis Bold" w:cs="Dosis Bold"/>
          <w:b/>
          <w:bCs/>
          <w:color w:val="004AAD"/>
          <w:sz w:val="32"/>
          <w:szCs w:val="32"/>
        </w:rPr>
        <w:t>HUKUK MUHAKEMELERİ KANUNU HAFTALIK SÜRELER</w:t>
      </w:r>
      <w:r>
        <w:rPr>
          <w:rFonts w:ascii="Dosis" w:eastAsia="Dosis" w:hAnsi="Dosis" w:cs="Dosis"/>
          <w:color w:val="004AAD"/>
        </w:rPr>
        <w:t xml:space="preserve"> </w:t>
      </w:r>
    </w:p>
    <w:p w:rsidR="000B60D3" w:rsidRDefault="00405E23">
      <w:pPr>
        <w:numPr>
          <w:ilvl w:val="0"/>
          <w:numId w:val="1"/>
        </w:numPr>
        <w:spacing w:after="0" w:line="377" w:lineRule="auto"/>
        <w:jc w:val="both"/>
      </w:pPr>
      <w:r>
        <w:rPr>
          <w:rFonts w:ascii="Dosis" w:eastAsia="Dosis" w:hAnsi="Dosis" w:cs="Dosis"/>
          <w:color w:val="000000"/>
        </w:rPr>
        <w:t xml:space="preserve">Görevsizlik veya yetkisizlik kararı verilmesi hâlinde, taraflardan birinin, bu karar verildiği anda kesin ise tebliğ tarihinden,  süresi içinde kanun yoluna başvurulmayarak kesinleşmiş ise kararın kesinleştiği tarihten; kanun yoluna başvurulmuşsa bu başvurunun reddi kararının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kararı veren mahkemeye başvurarak, dava dosyasının görevli ya da yetkili mahkemeye gönderilmesini talep etmesi gerekir. </w:t>
      </w:r>
    </w:p>
    <w:p w:rsidR="000B60D3" w:rsidRDefault="00405E23">
      <w:pPr>
        <w:numPr>
          <w:ilvl w:val="0"/>
          <w:numId w:val="1"/>
        </w:numPr>
        <w:spacing w:after="0" w:line="377" w:lineRule="auto"/>
        <w:jc w:val="both"/>
      </w:pPr>
      <w:r>
        <w:rPr>
          <w:rFonts w:ascii="Dosis" w:eastAsia="Dosis" w:hAnsi="Dosis" w:cs="Dosis"/>
          <w:color w:val="000000"/>
        </w:rPr>
        <w:t xml:space="preserve">Hâkimi reddeden taraf, dilekçesini karşı tarafa tebliğ ettirir. Karşı taraf </w:t>
      </w:r>
      <w:r>
        <w:rPr>
          <w:rFonts w:ascii="Dosis Bold" w:eastAsia="Dosis Bold" w:hAnsi="Dosis Bold" w:cs="Dosis Bold"/>
          <w:b/>
          <w:bCs/>
          <w:color w:val="000000"/>
        </w:rPr>
        <w:t>1 HAFTA</w:t>
      </w:r>
      <w:r>
        <w:rPr>
          <w:rFonts w:ascii="Dosis" w:eastAsia="Dosis" w:hAnsi="Dosis" w:cs="Dosis"/>
          <w:color w:val="000000"/>
        </w:rPr>
        <w:t xml:space="preserve"> içinde cevap verebilir. Bu süre geçtikten sonra yazı işleri müdürü tarafından ret dilekçesi, varsa karşı tarafın cevabı ve ekleri, dosya ile birlikte reddi istenen hâkime verilir. </w:t>
      </w:r>
    </w:p>
    <w:p w:rsidR="000B60D3" w:rsidRDefault="00405E23">
      <w:pPr>
        <w:numPr>
          <w:ilvl w:val="0"/>
          <w:numId w:val="1"/>
        </w:numPr>
        <w:spacing w:after="0" w:line="377" w:lineRule="auto"/>
        <w:jc w:val="both"/>
      </w:pPr>
      <w:r>
        <w:rPr>
          <w:rFonts w:ascii="Dosis" w:eastAsia="Dosis" w:hAnsi="Dosis" w:cs="Dosis"/>
          <w:color w:val="000000"/>
        </w:rPr>
        <w:t xml:space="preserve">Hakimi Ret talebinin, kötüniyetle yapıldığının anlaşılması ve esas yönünden kabul edilmemesi hâlinde, talepte bulunanların her biri hakkında beşyüz Türk Lirasından beşbin Türk Lirasına kadar disiplin para cezasına hükmolunur.Disiplin para cezasının tahsili için, davaya bakan mahkeme, dosyanın geliş tarihinden başlayarak  </w:t>
      </w:r>
      <w:r>
        <w:rPr>
          <w:rFonts w:ascii="Dosis Bold" w:eastAsia="Dosis Bold" w:hAnsi="Dosis Bold" w:cs="Dosis Bold"/>
          <w:b/>
          <w:bCs/>
          <w:color w:val="000000"/>
        </w:rPr>
        <w:t xml:space="preserve">2 HAFTA </w:t>
      </w:r>
      <w:r>
        <w:rPr>
          <w:rFonts w:ascii="Dosis" w:eastAsia="Dosis" w:hAnsi="Dosis" w:cs="Dosis"/>
          <w:color w:val="000000"/>
        </w:rPr>
        <w:t xml:space="preserve"> içinde gereğini yapar.  </w:t>
      </w:r>
    </w:p>
    <w:p w:rsidR="000B60D3" w:rsidRDefault="00405E23">
      <w:pPr>
        <w:numPr>
          <w:ilvl w:val="0"/>
          <w:numId w:val="1"/>
        </w:numPr>
        <w:spacing w:after="0" w:line="377" w:lineRule="auto"/>
        <w:jc w:val="both"/>
      </w:pPr>
      <w:r>
        <w:rPr>
          <w:rFonts w:ascii="Dosis" w:eastAsia="Dosis" w:hAnsi="Dosis" w:cs="Dosis"/>
          <w:color w:val="000000"/>
        </w:rPr>
        <w:t xml:space="preserve">Hakimin reddi taleplerine karşı istinaf durumunda, Esas hüküm bakımından istinaf yolu açık bulunan dava ve işlerde ise ret talebi hakkındaki merci kararlarına karşı tebliği tarihinden itibaren </w:t>
      </w:r>
      <w:r>
        <w:rPr>
          <w:rFonts w:ascii="Dosis Bold" w:eastAsia="Dosis Bold" w:hAnsi="Dosis Bold" w:cs="Dosis Bold"/>
          <w:b/>
          <w:bCs/>
          <w:color w:val="000000"/>
        </w:rPr>
        <w:t>2 HAFTA</w:t>
      </w:r>
      <w:r>
        <w:rPr>
          <w:rFonts w:ascii="Dosis" w:eastAsia="Dosis" w:hAnsi="Dosis" w:cs="Dosis"/>
          <w:color w:val="000000"/>
        </w:rPr>
        <w:t xml:space="preserve"> içinde istinaf yoluna başvurulabilir. </w:t>
      </w:r>
      <w:r>
        <w:rPr>
          <w:rFonts w:ascii="Dosis Bold" w:eastAsia="Dosis Bold" w:hAnsi="Dosis Bold" w:cs="Dosis Bold"/>
          <w:b/>
          <w:bCs/>
          <w:color w:val="000000"/>
        </w:rPr>
        <w:t>DİKKAT !  (</w:t>
      </w:r>
      <w:r>
        <w:rPr>
          <w:rFonts w:ascii="Dosis" w:eastAsia="Dosis" w:hAnsi="Dosis" w:cs="Dosis"/>
          <w:color w:val="000000"/>
        </w:rPr>
        <w:t xml:space="preserve">2/3/2024 tarihli ve 7499 sayılı Kanunun 37 nci maddesi ile bu fıkrada yer alan “tefhim veya” ibaresi madde metninden çıkarılmış ve “bir hafta” ibaresi “iki hafta” şeklinde değiştirilmiştir. ) </w:t>
      </w:r>
    </w:p>
    <w:p w:rsidR="000B60D3" w:rsidRDefault="00405E23">
      <w:pPr>
        <w:numPr>
          <w:ilvl w:val="0"/>
          <w:numId w:val="1"/>
        </w:numPr>
        <w:spacing w:after="0" w:line="377" w:lineRule="auto"/>
        <w:jc w:val="both"/>
      </w:pPr>
      <w:r>
        <w:rPr>
          <w:rFonts w:ascii="Dosis" w:eastAsia="Dosis" w:hAnsi="Dosis" w:cs="Dosis"/>
          <w:color w:val="000000"/>
        </w:rPr>
        <w:t xml:space="preserve">Hakimin reddi taleplerine karşı temyiz durumunda, Esas hüküm bakımından temyiz yolu açık bulunan dava ve işlerde ise ret talebi hakkındaki karar, tebliği tarihinden itibaren iki hafta içinde temyiz edilebilir. </w:t>
      </w:r>
      <w:r>
        <w:rPr>
          <w:rFonts w:ascii="Dosis Bold" w:eastAsia="Dosis Bold" w:hAnsi="Dosis Bold" w:cs="Dosis Bold"/>
          <w:b/>
          <w:bCs/>
          <w:color w:val="000000"/>
        </w:rPr>
        <w:t>DİKKAT ! (</w:t>
      </w:r>
      <w:r>
        <w:rPr>
          <w:rFonts w:ascii="Dosis" w:eastAsia="Dosis" w:hAnsi="Dosis" w:cs="Dosis"/>
          <w:color w:val="000000"/>
        </w:rPr>
        <w:t xml:space="preserve">8 2/3/2024 tarihli ve 7499 sayılı Kanunun 37 nci maddesi ile bu fıkrada yer alan “tefhim veya” ibaresi madde metninden çıkarılmış ve “bir hafta” ibaresi “iki hafta” şeklinde değiştirilmiştir. ) </w:t>
      </w:r>
    </w:p>
    <w:p w:rsidR="000B60D3" w:rsidRDefault="00405E23">
      <w:pPr>
        <w:numPr>
          <w:ilvl w:val="0"/>
          <w:numId w:val="1"/>
        </w:numPr>
        <w:spacing w:after="0" w:line="377" w:lineRule="auto"/>
        <w:jc w:val="both"/>
      </w:pPr>
      <w:r>
        <w:rPr>
          <w:rFonts w:ascii="Dosis" w:eastAsia="Dosis" w:hAnsi="Dosis" w:cs="Dosis"/>
          <w:color w:val="000000"/>
        </w:rPr>
        <w:t xml:space="preserve">İstifa eden vekilin vekâlet görevi, istifanın müvekkiline tebliğinden itibaren </w:t>
      </w:r>
      <w:r>
        <w:rPr>
          <w:rFonts w:ascii="Dosis Bold" w:eastAsia="Dosis Bold" w:hAnsi="Dosis Bold" w:cs="Dosis Bold"/>
          <w:b/>
          <w:bCs/>
          <w:color w:val="000000"/>
        </w:rPr>
        <w:t xml:space="preserve">2 HAFTA </w:t>
      </w:r>
      <w:r>
        <w:rPr>
          <w:rFonts w:ascii="Dosis" w:eastAsia="Dosis" w:hAnsi="Dosis" w:cs="Dosis"/>
          <w:color w:val="000000"/>
        </w:rPr>
        <w:t xml:space="preserve">süreyle devam eder. </w:t>
      </w:r>
    </w:p>
    <w:p w:rsidR="000B60D3" w:rsidRDefault="00405E23">
      <w:pPr>
        <w:numPr>
          <w:ilvl w:val="0"/>
          <w:numId w:val="1"/>
        </w:numPr>
        <w:spacing w:after="0" w:line="377" w:lineRule="auto"/>
        <w:jc w:val="both"/>
      </w:pPr>
      <w:r>
        <w:rPr>
          <w:rFonts w:ascii="Dosis" w:eastAsia="Dosis" w:hAnsi="Dosis" w:cs="Dosis"/>
          <w:color w:val="000000"/>
        </w:rPr>
        <w:t xml:space="preserve">Vekil ile takip edilen davada, vekilin azli hâlinde vekâlet veren, davayı takip etmez ve </w:t>
      </w:r>
      <w:r>
        <w:rPr>
          <w:rFonts w:ascii="Dosis Bold" w:eastAsia="Dosis Bold" w:hAnsi="Dosis Bold" w:cs="Dosis Bold"/>
          <w:b/>
          <w:bCs/>
          <w:color w:val="000000"/>
        </w:rPr>
        <w:t>2 HAFTA</w:t>
      </w:r>
      <w:r>
        <w:rPr>
          <w:rFonts w:ascii="Dosis" w:eastAsia="Dosis" w:hAnsi="Dosis" w:cs="Dosis"/>
          <w:color w:val="000000"/>
        </w:rPr>
        <w:t xml:space="preserve"> içinde bir başka vekil de görevlendirmez ise tarafın yokluğu hâlinde uygulanacak hükümlere göre işlem yapılır. </w:t>
      </w:r>
    </w:p>
    <w:p w:rsidR="00A462F8" w:rsidRDefault="00A462F8">
      <w:pPr>
        <w:spacing w:before="120" w:after="120" w:line="377" w:lineRule="auto"/>
        <w:jc w:val="right"/>
        <w:rPr>
          <w:rFonts w:ascii="Dosis" w:eastAsia="Dosis" w:hAnsi="Dosis" w:cs="Dosis"/>
          <w:color w:val="000000"/>
        </w:rPr>
      </w:pPr>
    </w:p>
    <w:p w:rsidR="000B60D3" w:rsidRPr="00A462F8" w:rsidRDefault="00405E23">
      <w:pPr>
        <w:spacing w:before="120" w:after="120" w:line="377" w:lineRule="auto"/>
        <w:jc w:val="right"/>
        <w:rPr>
          <w:b/>
        </w:rPr>
      </w:pPr>
      <w:r w:rsidRPr="00A462F8">
        <w:rPr>
          <w:rFonts w:ascii="Dosis" w:eastAsia="Dosis" w:hAnsi="Dosis" w:cs="Dosis"/>
          <w:b/>
          <w:color w:val="000000"/>
        </w:rPr>
        <w:lastRenderedPageBreak/>
        <w:t xml:space="preserve">SAYFA 2 </w:t>
      </w:r>
    </w:p>
    <w:p w:rsidR="000B60D3" w:rsidRDefault="00405E23">
      <w:pPr>
        <w:numPr>
          <w:ilvl w:val="0"/>
          <w:numId w:val="2"/>
        </w:numPr>
        <w:spacing w:after="0" w:line="377" w:lineRule="auto"/>
        <w:jc w:val="both"/>
      </w:pPr>
      <w:r>
        <w:rPr>
          <w:rFonts w:ascii="Dosis Bold" w:eastAsia="Dosis Bold" w:hAnsi="Dosis Bold" w:cs="Dosis Bold"/>
          <w:b/>
          <w:bCs/>
          <w:color w:val="000000"/>
        </w:rPr>
        <w:t xml:space="preserve">Süreler gün olarak belirlenmiş ise tebliğ veya tefhim edildiği gün hesaba katılmaz ve süre son günün tatil saatinde biter. </w:t>
      </w:r>
    </w:p>
    <w:p w:rsidR="000B60D3" w:rsidRDefault="00405E23">
      <w:pPr>
        <w:numPr>
          <w:ilvl w:val="0"/>
          <w:numId w:val="2"/>
        </w:numPr>
        <w:spacing w:after="0" w:line="377" w:lineRule="auto"/>
        <w:jc w:val="both"/>
      </w:pPr>
      <w:r>
        <w:rPr>
          <w:rFonts w:ascii="Dosis Bold" w:eastAsia="Dosis Bold" w:hAnsi="Dosis Bold" w:cs="Dosis Bold"/>
          <w:b/>
          <w:bCs/>
          <w:color w:val="000000"/>
        </w:rPr>
        <w:t xml:space="preserve">Süre; hafta, ay veya yıl olarak belirlenmiş ise başladığı güne son hafta, ay veya yıl içindeki karşılık gelen günün tatil saatinde biter. Sürenin bittiği ayda, başladığı güne karşılık gelen bir gün yoksa, süre bu ayın son günü tatil saatinde biter. </w:t>
      </w:r>
    </w:p>
    <w:p w:rsidR="000B60D3" w:rsidRDefault="00405E23">
      <w:pPr>
        <w:numPr>
          <w:ilvl w:val="0"/>
          <w:numId w:val="2"/>
        </w:numPr>
        <w:spacing w:after="0" w:line="377" w:lineRule="auto"/>
        <w:jc w:val="both"/>
      </w:pPr>
      <w:r>
        <w:rPr>
          <w:rFonts w:ascii="Dosis Bold" w:eastAsia="Dosis Bold" w:hAnsi="Dosis Bold" w:cs="Dosis Bold"/>
          <w:b/>
          <w:bCs/>
          <w:color w:val="000000"/>
        </w:rPr>
        <w:t xml:space="preserve">Resmî tatil günleri, süreye dâhildir. Sürenin son gününün resmî tatil gününe rastlaması hâlinde, süre tatili takip eden ilk iş günü çalışma saati sonunda biter. </w:t>
      </w:r>
    </w:p>
    <w:p w:rsidR="000B60D3" w:rsidRDefault="00405E23">
      <w:pPr>
        <w:numPr>
          <w:ilvl w:val="0"/>
          <w:numId w:val="2"/>
        </w:numPr>
        <w:spacing w:after="0" w:line="377" w:lineRule="auto"/>
        <w:jc w:val="both"/>
      </w:pPr>
      <w:r>
        <w:rPr>
          <w:rFonts w:ascii="Dosis" w:eastAsia="Dosis" w:hAnsi="Dosis" w:cs="Dosis"/>
          <w:color w:val="000000"/>
        </w:rPr>
        <w:t xml:space="preserve">Eski hâle getirme, işlemin süresinde yapılamamasına sebep olan engelin ortadan kalkmasından itibaren </w:t>
      </w:r>
      <w:r>
        <w:rPr>
          <w:rFonts w:ascii="Dosis Bold" w:eastAsia="Dosis Bold" w:hAnsi="Dosis Bold" w:cs="Dosis Bold"/>
          <w:b/>
          <w:bCs/>
          <w:color w:val="000000"/>
        </w:rPr>
        <w:t>2 HAFTA</w:t>
      </w:r>
      <w:r>
        <w:rPr>
          <w:rFonts w:ascii="Dosis" w:eastAsia="Dosis" w:hAnsi="Dosis" w:cs="Dosis"/>
          <w:color w:val="000000"/>
        </w:rPr>
        <w:t xml:space="preserve"> içinde talep edilmelidir. </w:t>
      </w:r>
    </w:p>
    <w:p w:rsidR="000B60D3" w:rsidRDefault="00405E23">
      <w:pPr>
        <w:numPr>
          <w:ilvl w:val="0"/>
          <w:numId w:val="2"/>
        </w:numPr>
        <w:spacing w:after="0" w:line="377" w:lineRule="auto"/>
        <w:jc w:val="both"/>
      </w:pPr>
      <w:r>
        <w:rPr>
          <w:rFonts w:ascii="Dosis" w:eastAsia="Dosis" w:hAnsi="Dosis" w:cs="Dosis"/>
          <w:color w:val="000000"/>
        </w:rPr>
        <w:t xml:space="preserve">Adli tatile tabi olan dava ve işlerde, bu Kanunun tayin ettiği sürelerin bitmesi tatil zamanına rastlarsa, bu süreler ayrıca bir karara gerek olmaksızın adli tatilin bittiği günden itibaren </w:t>
      </w:r>
      <w:r>
        <w:rPr>
          <w:rFonts w:ascii="Dosis Bold" w:eastAsia="Dosis Bold" w:hAnsi="Dosis Bold" w:cs="Dosis Bold"/>
          <w:b/>
          <w:bCs/>
          <w:color w:val="000000"/>
        </w:rPr>
        <w:t xml:space="preserve">1 HAFTA </w:t>
      </w:r>
      <w:r>
        <w:rPr>
          <w:rFonts w:ascii="Dosis" w:eastAsia="Dosis" w:hAnsi="Dosis" w:cs="Dosis"/>
          <w:color w:val="000000"/>
        </w:rPr>
        <w:t xml:space="preserve"> uzatılmış sayılır. </w:t>
      </w:r>
    </w:p>
    <w:p w:rsidR="000B60D3" w:rsidRDefault="00405E23">
      <w:pPr>
        <w:numPr>
          <w:ilvl w:val="0"/>
          <w:numId w:val="2"/>
        </w:numPr>
        <w:spacing w:after="0" w:line="377" w:lineRule="auto"/>
        <w:jc w:val="both"/>
      </w:pPr>
      <w:r>
        <w:rPr>
          <w:rFonts w:ascii="Dosis" w:eastAsia="Dosis" w:hAnsi="Dosis" w:cs="Dosis"/>
          <w:color w:val="000000"/>
        </w:rPr>
        <w:t xml:space="preserve">Belirsiz alacak davası, Karşı tarafın verdiği bilgi veya tahkikat sonucu alacağın miktarı veya değerinin tam ve kesin olarak belirlenebilmesi mümkün olduğunda, hâkim tarafından tahkikat sona ermeden verilecek </w:t>
      </w:r>
      <w:r>
        <w:rPr>
          <w:rFonts w:ascii="Dosis Bold" w:eastAsia="Dosis Bold" w:hAnsi="Dosis Bold" w:cs="Dosis Bold"/>
          <w:b/>
          <w:bCs/>
          <w:color w:val="000000"/>
        </w:rPr>
        <w:t>2 HAFTA</w:t>
      </w:r>
      <w:r>
        <w:rPr>
          <w:rFonts w:ascii="Dosis" w:eastAsia="Dosis" w:hAnsi="Dosis" w:cs="Dosis"/>
          <w:color w:val="000000"/>
        </w:rPr>
        <w:t xml:space="preserve"> kesin süre içinde davacı, iddianın genişletilmesi yasağına tabi olmaksızın talebini tam ve kesin olarak belirleyebilir. </w:t>
      </w:r>
    </w:p>
    <w:p w:rsidR="000B60D3" w:rsidRDefault="00405E23">
      <w:pPr>
        <w:numPr>
          <w:ilvl w:val="0"/>
          <w:numId w:val="2"/>
        </w:numPr>
        <w:spacing w:after="0" w:line="377" w:lineRule="auto"/>
        <w:jc w:val="both"/>
      </w:pPr>
      <w:r>
        <w:rPr>
          <w:rFonts w:ascii="Dosis" w:eastAsia="Dosis" w:hAnsi="Dosis" w:cs="Dosis"/>
          <w:i/>
          <w:iCs/>
          <w:color w:val="000000"/>
          <w:u w:val="single" w:color="000000"/>
        </w:rPr>
        <w:t>Dava dilekçesinin içeriğinde</w:t>
      </w:r>
      <w:r>
        <w:rPr>
          <w:rFonts w:ascii="Dosis" w:eastAsia="Dosis" w:hAnsi="Dosis" w:cs="Dosis"/>
          <w:color w:val="000000"/>
        </w:rPr>
        <w:t xml:space="preserve">; </w:t>
      </w:r>
    </w:p>
    <w:p w:rsidR="000B60D3" w:rsidRDefault="00405E23">
      <w:pPr>
        <w:numPr>
          <w:ilvl w:val="0"/>
          <w:numId w:val="2"/>
        </w:numPr>
        <w:spacing w:after="0" w:line="377" w:lineRule="auto"/>
        <w:jc w:val="both"/>
      </w:pPr>
      <w:r>
        <w:rPr>
          <w:rFonts w:ascii="Dosis" w:eastAsia="Dosis" w:hAnsi="Dosis" w:cs="Dosis"/>
          <w:color w:val="000000"/>
        </w:rPr>
        <w:t xml:space="preserve">a) Mahkemenin adı. </w:t>
      </w:r>
    </w:p>
    <w:p w:rsidR="000B60D3" w:rsidRDefault="00405E23">
      <w:pPr>
        <w:numPr>
          <w:ilvl w:val="0"/>
          <w:numId w:val="2"/>
        </w:numPr>
        <w:spacing w:after="0" w:line="377" w:lineRule="auto"/>
        <w:jc w:val="both"/>
      </w:pPr>
      <w:r>
        <w:rPr>
          <w:rFonts w:ascii="Dosis" w:eastAsia="Dosis" w:hAnsi="Dosis" w:cs="Dosis"/>
          <w:color w:val="000000"/>
        </w:rPr>
        <w:t xml:space="preserve">b) Davacı ile davalının adı, soyadı ve adresleri.  </w:t>
      </w:r>
    </w:p>
    <w:p w:rsidR="000B60D3" w:rsidRDefault="00405E23">
      <w:pPr>
        <w:numPr>
          <w:ilvl w:val="0"/>
          <w:numId w:val="2"/>
        </w:numPr>
        <w:spacing w:after="0" w:line="377" w:lineRule="auto"/>
        <w:jc w:val="both"/>
      </w:pPr>
      <w:r>
        <w:rPr>
          <w:rFonts w:ascii="Dosis" w:eastAsia="Dosis" w:hAnsi="Dosis" w:cs="Dosis"/>
          <w:color w:val="000000"/>
        </w:rPr>
        <w:t xml:space="preserve">c) Davacının Türkiye Cumhuriyeti kimlik numarası.  </w:t>
      </w:r>
    </w:p>
    <w:p w:rsidR="000B60D3" w:rsidRDefault="00405E23">
      <w:pPr>
        <w:numPr>
          <w:ilvl w:val="0"/>
          <w:numId w:val="2"/>
        </w:numPr>
        <w:spacing w:after="0" w:line="377" w:lineRule="auto"/>
        <w:jc w:val="both"/>
      </w:pPr>
      <w:r>
        <w:rPr>
          <w:rFonts w:ascii="Dosis" w:eastAsia="Dosis" w:hAnsi="Dosis" w:cs="Dosis"/>
          <w:color w:val="000000"/>
        </w:rPr>
        <w:t xml:space="preserve">ç) Varsa tarafların kanuni temsilcilerinin ve davacı vekilinin adı, soyadı ve adresleri.  </w:t>
      </w:r>
    </w:p>
    <w:p w:rsidR="000B60D3" w:rsidRDefault="00405E23">
      <w:pPr>
        <w:numPr>
          <w:ilvl w:val="0"/>
          <w:numId w:val="2"/>
        </w:numPr>
        <w:spacing w:after="0" w:line="377" w:lineRule="auto"/>
        <w:jc w:val="both"/>
      </w:pPr>
      <w:r>
        <w:rPr>
          <w:rFonts w:ascii="Dosis" w:eastAsia="Dosis" w:hAnsi="Dosis" w:cs="Dosis"/>
          <w:color w:val="000000"/>
        </w:rPr>
        <w:t xml:space="preserve">d) Davanın konusu ve malvarlığı haklarına ilişkin davalarda, dava konusunun değeri.  </w:t>
      </w:r>
    </w:p>
    <w:p w:rsidR="000B60D3" w:rsidRDefault="00405E23">
      <w:pPr>
        <w:numPr>
          <w:ilvl w:val="0"/>
          <w:numId w:val="2"/>
        </w:numPr>
        <w:spacing w:after="0" w:line="377" w:lineRule="auto"/>
        <w:jc w:val="both"/>
      </w:pPr>
      <w:r>
        <w:rPr>
          <w:rFonts w:ascii="Dosis" w:eastAsia="Dosis" w:hAnsi="Dosis" w:cs="Dosis"/>
          <w:color w:val="000000"/>
        </w:rPr>
        <w:t xml:space="preserve">e) Davacının iddiasının dayanağı olan bütün vakıaların sıra numarası altında açık özetleri.  </w:t>
      </w:r>
    </w:p>
    <w:p w:rsidR="000B60D3" w:rsidRDefault="00405E23">
      <w:pPr>
        <w:numPr>
          <w:ilvl w:val="0"/>
          <w:numId w:val="2"/>
        </w:numPr>
        <w:spacing w:after="0" w:line="377" w:lineRule="auto"/>
        <w:jc w:val="both"/>
      </w:pPr>
      <w:r>
        <w:rPr>
          <w:rFonts w:ascii="Dosis" w:eastAsia="Dosis" w:hAnsi="Dosis" w:cs="Dosis"/>
          <w:color w:val="000000"/>
        </w:rPr>
        <w:t xml:space="preserve">f) İddia edilen her bir vakıanın hangi delillerle ispat edileceği.  </w:t>
      </w:r>
    </w:p>
    <w:p w:rsidR="000B60D3" w:rsidRDefault="00405E23">
      <w:pPr>
        <w:numPr>
          <w:ilvl w:val="0"/>
          <w:numId w:val="2"/>
        </w:numPr>
        <w:spacing w:after="0" w:line="377" w:lineRule="auto"/>
        <w:jc w:val="both"/>
      </w:pPr>
      <w:r>
        <w:rPr>
          <w:rFonts w:ascii="Dosis" w:eastAsia="Dosis" w:hAnsi="Dosis" w:cs="Dosis"/>
          <w:color w:val="000000"/>
        </w:rPr>
        <w:t xml:space="preserve">g) Dayanılan hukuki sebepler.  </w:t>
      </w:r>
    </w:p>
    <w:p w:rsidR="000B60D3" w:rsidRDefault="00405E23">
      <w:pPr>
        <w:numPr>
          <w:ilvl w:val="0"/>
          <w:numId w:val="2"/>
        </w:numPr>
        <w:spacing w:after="0" w:line="377" w:lineRule="auto"/>
        <w:jc w:val="both"/>
      </w:pPr>
      <w:r>
        <w:rPr>
          <w:rFonts w:ascii="Dosis" w:eastAsia="Dosis" w:hAnsi="Dosis" w:cs="Dosis"/>
          <w:color w:val="000000"/>
        </w:rPr>
        <w:t xml:space="preserve">ğ) Açık bir şekilde talep sonucu.  </w:t>
      </w:r>
    </w:p>
    <w:p w:rsidR="000B60D3" w:rsidRDefault="00405E23">
      <w:pPr>
        <w:numPr>
          <w:ilvl w:val="0"/>
          <w:numId w:val="2"/>
        </w:numPr>
        <w:spacing w:after="0" w:line="377" w:lineRule="auto"/>
        <w:jc w:val="both"/>
      </w:pPr>
      <w:r>
        <w:rPr>
          <w:rFonts w:ascii="Dosis" w:eastAsia="Dosis" w:hAnsi="Dosis" w:cs="Dosis"/>
          <w:color w:val="000000"/>
        </w:rPr>
        <w:t xml:space="preserve">h) Davacının, varsa kanuni temsilcisinin veya vekilinin imzası. </w:t>
      </w:r>
    </w:p>
    <w:p w:rsidR="000B60D3" w:rsidRDefault="00405E23">
      <w:pPr>
        <w:numPr>
          <w:ilvl w:val="0"/>
          <w:numId w:val="2"/>
        </w:numPr>
        <w:spacing w:after="0" w:line="377" w:lineRule="auto"/>
        <w:jc w:val="both"/>
      </w:pPr>
      <w:r>
        <w:rPr>
          <w:rFonts w:ascii="Dosis" w:eastAsia="Dosis" w:hAnsi="Dosis" w:cs="Dosis"/>
          <w:color w:val="000000"/>
        </w:rPr>
        <w:t xml:space="preserve">(2) Birinci fıkranın (a), (d), (e), (f) ve (g) bentleri dışında kalan hususların eksik olması hâlinde, hâkim davacıya eksikliği tamamlaması için </w:t>
      </w:r>
      <w:r>
        <w:rPr>
          <w:rFonts w:ascii="Dosis Bold" w:eastAsia="Dosis Bold" w:hAnsi="Dosis Bold" w:cs="Dosis Bold"/>
          <w:b/>
          <w:bCs/>
          <w:color w:val="000000"/>
        </w:rPr>
        <w:t xml:space="preserve">1 HAFTA </w:t>
      </w:r>
      <w:r>
        <w:rPr>
          <w:rFonts w:ascii="Dosis" w:eastAsia="Dosis" w:hAnsi="Dosis" w:cs="Dosis"/>
          <w:color w:val="000000"/>
        </w:rPr>
        <w:t xml:space="preserve">kesin süre verir. </w:t>
      </w:r>
    </w:p>
    <w:p w:rsidR="000B60D3" w:rsidRPr="00A462F8" w:rsidRDefault="00405E23">
      <w:pPr>
        <w:numPr>
          <w:ilvl w:val="0"/>
          <w:numId w:val="2"/>
        </w:numPr>
        <w:spacing w:after="0" w:line="377" w:lineRule="auto"/>
        <w:jc w:val="both"/>
      </w:pPr>
      <w:r>
        <w:rPr>
          <w:rFonts w:ascii="Dosis" w:eastAsia="Dosis" w:hAnsi="Dosis" w:cs="Dosis"/>
          <w:color w:val="000000"/>
        </w:rPr>
        <w:t xml:space="preserve">Harç ve gider avansın ödenmesi, Avansın yeterli olmadığının dava sırasında anlaşılması hâlinde, mahkemece, bu eksikliğin tamamlanması için davacıya </w:t>
      </w:r>
      <w:r>
        <w:rPr>
          <w:rFonts w:ascii="Dosis Bold" w:eastAsia="Dosis Bold" w:hAnsi="Dosis Bold" w:cs="Dosis Bold"/>
          <w:b/>
          <w:bCs/>
          <w:color w:val="000000"/>
        </w:rPr>
        <w:t>2 HAFTA</w:t>
      </w:r>
      <w:r>
        <w:rPr>
          <w:rFonts w:ascii="Dosis" w:eastAsia="Dosis" w:hAnsi="Dosis" w:cs="Dosis"/>
          <w:color w:val="000000"/>
        </w:rPr>
        <w:t xml:space="preserve"> kesin süre verilir. </w:t>
      </w:r>
    </w:p>
    <w:p w:rsidR="00A462F8" w:rsidRDefault="00A462F8" w:rsidP="00A462F8">
      <w:pPr>
        <w:spacing w:after="0" w:line="377" w:lineRule="auto"/>
        <w:jc w:val="both"/>
        <w:rPr>
          <w:rFonts w:ascii="Dosis" w:eastAsia="Dosis" w:hAnsi="Dosis" w:cs="Dosis"/>
          <w:color w:val="000000"/>
        </w:rPr>
      </w:pPr>
    </w:p>
    <w:p w:rsidR="00A462F8" w:rsidRPr="00A462F8" w:rsidRDefault="00A462F8" w:rsidP="00A462F8">
      <w:pPr>
        <w:spacing w:before="120" w:after="120" w:line="377" w:lineRule="auto"/>
        <w:jc w:val="right"/>
        <w:rPr>
          <w:b/>
        </w:rPr>
      </w:pPr>
      <w:r w:rsidRPr="00A462F8">
        <w:rPr>
          <w:rFonts w:ascii="Dosis" w:eastAsia="Dosis" w:hAnsi="Dosis" w:cs="Dosis"/>
          <w:b/>
          <w:color w:val="000000"/>
        </w:rPr>
        <w:lastRenderedPageBreak/>
        <w:t xml:space="preserve">SAYFA 3 </w:t>
      </w:r>
    </w:p>
    <w:p w:rsidR="000B60D3" w:rsidRDefault="00405E23" w:rsidP="00A462F8">
      <w:pPr>
        <w:numPr>
          <w:ilvl w:val="0"/>
          <w:numId w:val="2"/>
        </w:numPr>
        <w:spacing w:after="0" w:line="377" w:lineRule="auto"/>
        <w:jc w:val="both"/>
      </w:pPr>
      <w:r>
        <w:rPr>
          <w:rFonts w:ascii="Dosis" w:eastAsia="Dosis" w:hAnsi="Dosis" w:cs="Dosis"/>
          <w:color w:val="000000"/>
        </w:rPr>
        <w:t xml:space="preserve">Dava dilekçesi, mahkeme tarafından davalıya tebliğ edilir. Davalının </w:t>
      </w:r>
      <w:r>
        <w:rPr>
          <w:rFonts w:ascii="Dosis Bold" w:eastAsia="Dosis Bold" w:hAnsi="Dosis Bold" w:cs="Dosis Bold"/>
          <w:b/>
          <w:bCs/>
          <w:color w:val="000000"/>
        </w:rPr>
        <w:t>2 HAFTA</w:t>
      </w:r>
      <w:r>
        <w:rPr>
          <w:rFonts w:ascii="Dosis" w:eastAsia="Dosis" w:hAnsi="Dosis" w:cs="Dosis"/>
          <w:color w:val="000000"/>
        </w:rPr>
        <w:t xml:space="preserve"> içinde davaya cevap verebileceği tebliğ zarfında gösterilir. </w:t>
      </w:r>
    </w:p>
    <w:p w:rsidR="000B60D3" w:rsidRDefault="00405E23" w:rsidP="00A462F8">
      <w:pPr>
        <w:numPr>
          <w:ilvl w:val="0"/>
          <w:numId w:val="3"/>
        </w:numPr>
        <w:spacing w:after="0" w:line="377" w:lineRule="auto"/>
        <w:jc w:val="both"/>
      </w:pPr>
      <w:r>
        <w:rPr>
          <w:rFonts w:ascii="Dosis" w:eastAsia="Dosis" w:hAnsi="Dosis" w:cs="Dosis"/>
          <w:color w:val="000000"/>
        </w:rPr>
        <w:t xml:space="preserve">Cevap dilekçesini verme süresi, dava dilekçesinin davalıya tebliğinden itibaren </w:t>
      </w:r>
      <w:r>
        <w:rPr>
          <w:rFonts w:ascii="Dosis Bold" w:eastAsia="Dosis Bold" w:hAnsi="Dosis Bold" w:cs="Dosis Bold"/>
          <w:b/>
          <w:bCs/>
          <w:color w:val="000000"/>
        </w:rPr>
        <w:t xml:space="preserve">2 HAFTADIR.  </w:t>
      </w:r>
    </w:p>
    <w:p w:rsidR="000B60D3" w:rsidRDefault="00405E23" w:rsidP="00A462F8">
      <w:pPr>
        <w:numPr>
          <w:ilvl w:val="0"/>
          <w:numId w:val="3"/>
        </w:numPr>
        <w:spacing w:after="0" w:line="377" w:lineRule="auto"/>
        <w:jc w:val="both"/>
      </w:pPr>
      <w:r>
        <w:rPr>
          <w:rFonts w:ascii="Dosis" w:eastAsia="Dosis" w:hAnsi="Dosis" w:cs="Dosis"/>
          <w:color w:val="000000"/>
        </w:rPr>
        <w:t xml:space="preserve">Cevap dilekçesinde eksik olması hâlinde, bunun giderilmesi için hâkim tarafından </w:t>
      </w:r>
      <w:r>
        <w:rPr>
          <w:rFonts w:ascii="Dosis Bold" w:eastAsia="Dosis Bold" w:hAnsi="Dosis Bold" w:cs="Dosis Bold"/>
          <w:b/>
          <w:bCs/>
          <w:color w:val="000000"/>
        </w:rPr>
        <w:t>1 HAFTA</w:t>
      </w:r>
      <w:r>
        <w:rPr>
          <w:rFonts w:ascii="Dosis" w:eastAsia="Dosis" w:hAnsi="Dosis" w:cs="Dosis"/>
          <w:color w:val="000000"/>
        </w:rPr>
        <w:t xml:space="preserve"> süre verilir. </w:t>
      </w:r>
    </w:p>
    <w:p w:rsidR="000B60D3" w:rsidRDefault="00405E23" w:rsidP="00A462F8">
      <w:pPr>
        <w:numPr>
          <w:ilvl w:val="0"/>
          <w:numId w:val="3"/>
        </w:numPr>
        <w:spacing w:after="0" w:line="377" w:lineRule="auto"/>
        <w:jc w:val="both"/>
      </w:pPr>
      <w:r>
        <w:rPr>
          <w:rFonts w:ascii="Dosis" w:eastAsia="Dosis" w:hAnsi="Dosis" w:cs="Dosis"/>
          <w:color w:val="000000"/>
        </w:rPr>
        <w:t xml:space="preserve">Davacı, cevap dilekçesinin kendisine tebliğinden itibaren </w:t>
      </w:r>
      <w:r>
        <w:rPr>
          <w:rFonts w:ascii="Dosis Bold" w:eastAsia="Dosis Bold" w:hAnsi="Dosis Bold" w:cs="Dosis Bold"/>
          <w:b/>
          <w:bCs/>
          <w:color w:val="000000"/>
        </w:rPr>
        <w:t>2 HAFTA</w:t>
      </w:r>
      <w:r>
        <w:rPr>
          <w:rFonts w:ascii="Dosis" w:eastAsia="Dosis" w:hAnsi="Dosis" w:cs="Dosis"/>
          <w:color w:val="000000"/>
        </w:rPr>
        <w:t xml:space="preserve"> içinde cevaba cevap dilekçesi; davalı da davacının cevabının kendisine tebliğinden itibaren </w:t>
      </w:r>
      <w:r>
        <w:rPr>
          <w:rFonts w:ascii="Dosis Bold" w:eastAsia="Dosis Bold" w:hAnsi="Dosis Bold" w:cs="Dosis Bold"/>
          <w:b/>
          <w:bCs/>
          <w:color w:val="000000"/>
        </w:rPr>
        <w:t>2 HAFTA</w:t>
      </w:r>
      <w:r>
        <w:rPr>
          <w:rFonts w:ascii="Dosis" w:eastAsia="Dosis" w:hAnsi="Dosis" w:cs="Dosis"/>
          <w:color w:val="000000"/>
        </w:rPr>
        <w:t xml:space="preserve"> içinde ikinci cevap dilekçesi verebilir. </w:t>
      </w:r>
    </w:p>
    <w:p w:rsidR="000B60D3" w:rsidRDefault="00405E23" w:rsidP="00A462F8">
      <w:pPr>
        <w:numPr>
          <w:ilvl w:val="0"/>
          <w:numId w:val="3"/>
        </w:numPr>
        <w:spacing w:after="0" w:line="377" w:lineRule="auto"/>
        <w:jc w:val="both"/>
      </w:pPr>
      <w:r>
        <w:rPr>
          <w:rFonts w:ascii="Dosis" w:eastAsia="Dosis" w:hAnsi="Dosis" w:cs="Dosis"/>
          <w:color w:val="000000"/>
        </w:rPr>
        <w:t xml:space="preserve">Ön inceleme duruşmasına davet, Davetiyenin tebliğinden itibaren </w:t>
      </w:r>
      <w:r>
        <w:rPr>
          <w:rFonts w:ascii="Dosis Bold" w:eastAsia="Dosis Bold" w:hAnsi="Dosis Bold" w:cs="Dosis Bold"/>
          <w:b/>
          <w:bCs/>
          <w:color w:val="000000"/>
        </w:rPr>
        <w:t xml:space="preserve">2 HAFTA </w:t>
      </w:r>
      <w:r>
        <w:rPr>
          <w:rFonts w:ascii="Dosis" w:eastAsia="Dosis" w:hAnsi="Dosis" w:cs="Dosis"/>
          <w:color w:val="000000"/>
        </w:rPr>
        <w:t xml:space="preserve"> kesin süre içinde tarafların dilekçelerinde gösterdikleri, ancak henüz sunmadıkları belgeleri mahkemeye sunmaları. </w:t>
      </w:r>
    </w:p>
    <w:p w:rsidR="000B60D3" w:rsidRDefault="00405E23" w:rsidP="00A462F8">
      <w:pPr>
        <w:numPr>
          <w:ilvl w:val="0"/>
          <w:numId w:val="3"/>
        </w:numPr>
        <w:spacing w:after="0" w:line="377" w:lineRule="auto"/>
        <w:jc w:val="both"/>
      </w:pPr>
      <w:r>
        <w:rPr>
          <w:rFonts w:ascii="Dosis" w:eastAsia="Dosis" w:hAnsi="Dosis" w:cs="Dosis"/>
          <w:color w:val="000000"/>
        </w:rPr>
        <w:t xml:space="preserve">Tahkikat, tarafların dinlenmesi: Mahkemenin, dinlenilmek üzere mahkemeye gelmeleri için iki tarafa vereceği süre </w:t>
      </w:r>
      <w:r>
        <w:rPr>
          <w:rFonts w:ascii="Dosis Bold" w:eastAsia="Dosis Bold" w:hAnsi="Dosis Bold" w:cs="Dosis Bold"/>
          <w:b/>
          <w:bCs/>
          <w:color w:val="000000"/>
        </w:rPr>
        <w:t xml:space="preserve">2 HAFTADAN </w:t>
      </w:r>
      <w:r>
        <w:rPr>
          <w:rFonts w:ascii="Dosis" w:eastAsia="Dosis" w:hAnsi="Dosis" w:cs="Dosis"/>
          <w:color w:val="000000"/>
        </w:rPr>
        <w:t xml:space="preserve">az olamaz. </w:t>
      </w:r>
    </w:p>
    <w:p w:rsidR="000B60D3" w:rsidRDefault="00405E23" w:rsidP="00A462F8">
      <w:pPr>
        <w:numPr>
          <w:ilvl w:val="0"/>
          <w:numId w:val="3"/>
        </w:numPr>
        <w:spacing w:after="0" w:line="377" w:lineRule="auto"/>
        <w:jc w:val="both"/>
      </w:pPr>
      <w:r>
        <w:rPr>
          <w:rFonts w:ascii="Dosis" w:eastAsia="Dosis" w:hAnsi="Dosis" w:cs="Dosis"/>
          <w:color w:val="000000"/>
        </w:rPr>
        <w:t xml:space="preserve">Islah eden taraf, ıslah sebebiyle geçersiz hâle gelen işlemler için yapılan yargılama giderleri ile karşı tarafın uğradığı ve uğrayabileceği zararları karşılamak üzere hâkimin takdir edeceği teminatı, </w:t>
      </w:r>
      <w:r>
        <w:rPr>
          <w:rFonts w:ascii="Dosis Bold" w:eastAsia="Dosis Bold" w:hAnsi="Dosis Bold" w:cs="Dosis Bold"/>
          <w:b/>
          <w:bCs/>
          <w:color w:val="000000"/>
        </w:rPr>
        <w:t>1  HAFTA</w:t>
      </w:r>
      <w:r>
        <w:rPr>
          <w:rFonts w:ascii="Dosis" w:eastAsia="Dosis" w:hAnsi="Dosis" w:cs="Dosis"/>
          <w:color w:val="000000"/>
        </w:rPr>
        <w:t xml:space="preserve"> içinde, mahkeme veznesine yatırmak zorundadır. </w:t>
      </w:r>
    </w:p>
    <w:p w:rsidR="000B60D3" w:rsidRDefault="00405E23" w:rsidP="00A462F8">
      <w:pPr>
        <w:numPr>
          <w:ilvl w:val="0"/>
          <w:numId w:val="3"/>
        </w:numPr>
        <w:spacing w:after="0" w:line="377" w:lineRule="auto"/>
        <w:jc w:val="both"/>
      </w:pPr>
      <w:r>
        <w:rPr>
          <w:rFonts w:ascii="Dosis" w:eastAsia="Dosis" w:hAnsi="Dosis" w:cs="Dosis"/>
          <w:color w:val="000000"/>
        </w:rPr>
        <w:t xml:space="preserve">Davasını tamamen ıslah ettiğini bildiren taraf, bu bildirimden itibaren </w:t>
      </w:r>
      <w:r>
        <w:rPr>
          <w:rFonts w:ascii="Dosis Bold" w:eastAsia="Dosis Bold" w:hAnsi="Dosis Bold" w:cs="Dosis Bold"/>
          <w:b/>
          <w:bCs/>
          <w:color w:val="000000"/>
        </w:rPr>
        <w:t>1 HAFTA</w:t>
      </w:r>
      <w:r>
        <w:rPr>
          <w:rFonts w:ascii="Dosis" w:eastAsia="Dosis" w:hAnsi="Dosis" w:cs="Dosis"/>
          <w:color w:val="000000"/>
        </w:rPr>
        <w:t xml:space="preserve"> içinde yeni bir dava dilekçesi vermek zorundadır. </w:t>
      </w:r>
    </w:p>
    <w:p w:rsidR="000B60D3" w:rsidRDefault="00405E23" w:rsidP="00A462F8">
      <w:pPr>
        <w:numPr>
          <w:ilvl w:val="0"/>
          <w:numId w:val="3"/>
        </w:numPr>
        <w:spacing w:after="0" w:line="377" w:lineRule="auto"/>
        <w:jc w:val="both"/>
      </w:pPr>
      <w:r>
        <w:rPr>
          <w:rFonts w:ascii="Dosis" w:eastAsia="Dosis" w:hAnsi="Dosis" w:cs="Dosis"/>
          <w:color w:val="000000"/>
        </w:rPr>
        <w:t xml:space="preserve">Kısmen ıslaha başvuran tarafa, ıslah ettiği usul işlemini yapması için </w:t>
      </w:r>
      <w:r>
        <w:rPr>
          <w:rFonts w:ascii="Dosis Bold" w:eastAsia="Dosis Bold" w:hAnsi="Dosis Bold" w:cs="Dosis Bold"/>
          <w:b/>
          <w:bCs/>
          <w:color w:val="000000"/>
        </w:rPr>
        <w:t>1 HAFTALIK</w:t>
      </w:r>
      <w:r>
        <w:rPr>
          <w:rFonts w:ascii="Dosis" w:eastAsia="Dosis" w:hAnsi="Dosis" w:cs="Dosis"/>
          <w:color w:val="000000"/>
        </w:rPr>
        <w:t xml:space="preserve">  süre verilir. </w:t>
      </w:r>
    </w:p>
    <w:p w:rsidR="000B60D3" w:rsidRDefault="00405E23" w:rsidP="00A462F8">
      <w:pPr>
        <w:numPr>
          <w:ilvl w:val="0"/>
          <w:numId w:val="3"/>
        </w:numPr>
        <w:spacing w:after="0" w:line="377" w:lineRule="auto"/>
        <w:jc w:val="both"/>
      </w:pPr>
      <w:r>
        <w:rPr>
          <w:rFonts w:ascii="Dosis" w:eastAsia="Dosis" w:hAnsi="Dosis" w:cs="Dosis"/>
          <w:color w:val="000000"/>
        </w:rPr>
        <w:t xml:space="preserve">Mahkeme, tahkikatın bittiğini tefhim ettikten sonra aynı duruşmada sözlü yargılama aşamasına geçer. Bu durumda taraflardan birinin talebi üzerine duruşma </w:t>
      </w:r>
      <w:r>
        <w:rPr>
          <w:rFonts w:ascii="Dosis Bold" w:eastAsia="Dosis Bold" w:hAnsi="Dosis Bold" w:cs="Dosis Bold"/>
          <w:b/>
          <w:bCs/>
          <w:color w:val="000000"/>
        </w:rPr>
        <w:t>2 HAFTADAN</w:t>
      </w:r>
      <w:r>
        <w:rPr>
          <w:rFonts w:ascii="Dosis" w:eastAsia="Dosis" w:hAnsi="Dosis" w:cs="Dosis"/>
          <w:color w:val="000000"/>
        </w:rPr>
        <w:t xml:space="preserve"> az olmamak üzere ertelenir. </w:t>
      </w:r>
    </w:p>
    <w:p w:rsidR="000B60D3" w:rsidRDefault="00405E23" w:rsidP="00A462F8">
      <w:pPr>
        <w:numPr>
          <w:ilvl w:val="0"/>
          <w:numId w:val="3"/>
        </w:numPr>
        <w:spacing w:after="0" w:line="377" w:lineRule="auto"/>
        <w:jc w:val="both"/>
      </w:pPr>
      <w:r>
        <w:rPr>
          <w:rFonts w:ascii="Dosis" w:eastAsia="Dosis" w:hAnsi="Dosis" w:cs="Dosis"/>
          <w:color w:val="000000"/>
        </w:rPr>
        <w:t xml:space="preserve">Resmî bir senetteki yazı veya imzayı inkâr eden tarafın bu iddiası, ancak ilgili evraka resmiyet kazandıran kişiyi de taraf göstererek açacağı ayrı bir davada incelenip karara bağlanabilir. Asıl davaya bakan hâkim, gerekirse bu konuda imza veya yazıyı inkâr eden tarafa, dava açması için </w:t>
      </w:r>
      <w:r>
        <w:rPr>
          <w:rFonts w:ascii="Dosis Bold" w:eastAsia="Dosis Bold" w:hAnsi="Dosis Bold" w:cs="Dosis Bold"/>
          <w:b/>
          <w:bCs/>
          <w:color w:val="000000"/>
        </w:rPr>
        <w:t xml:space="preserve">2 HAFTALIK </w:t>
      </w:r>
      <w:r>
        <w:rPr>
          <w:rFonts w:ascii="Dosis" w:eastAsia="Dosis" w:hAnsi="Dosis" w:cs="Dosis"/>
          <w:color w:val="000000"/>
        </w:rPr>
        <w:t xml:space="preserve">kesin bir süre verir.  </w:t>
      </w:r>
    </w:p>
    <w:p w:rsidR="000B60D3" w:rsidRDefault="00405E23" w:rsidP="00A462F8">
      <w:pPr>
        <w:numPr>
          <w:ilvl w:val="0"/>
          <w:numId w:val="3"/>
        </w:numPr>
        <w:spacing w:after="0" w:line="377" w:lineRule="auto"/>
        <w:jc w:val="both"/>
      </w:pPr>
      <w:r>
        <w:rPr>
          <w:rFonts w:ascii="Dosis" w:eastAsia="Dosis" w:hAnsi="Dosis" w:cs="Dosis"/>
          <w:color w:val="000000"/>
        </w:rPr>
        <w:t xml:space="preserve">Tanığın davet edilmesi, Davetiyenin duruşma gününden en az  </w:t>
      </w:r>
      <w:r>
        <w:rPr>
          <w:rFonts w:ascii="Dosis Bold" w:eastAsia="Dosis Bold" w:hAnsi="Dosis Bold" w:cs="Dosis Bold"/>
          <w:b/>
          <w:bCs/>
          <w:color w:val="000000"/>
        </w:rPr>
        <w:t>1 HAFTA</w:t>
      </w:r>
      <w:r>
        <w:rPr>
          <w:rFonts w:ascii="Dosis" w:eastAsia="Dosis" w:hAnsi="Dosis" w:cs="Dosis"/>
          <w:color w:val="000000"/>
        </w:rPr>
        <w:t xml:space="preserve"> önce tebliğ edilmiş olması gerekir. </w:t>
      </w:r>
    </w:p>
    <w:p w:rsidR="000B60D3" w:rsidRDefault="00405E23" w:rsidP="00A462F8">
      <w:pPr>
        <w:numPr>
          <w:ilvl w:val="0"/>
          <w:numId w:val="3"/>
        </w:numPr>
        <w:spacing w:after="0" w:line="377" w:lineRule="auto"/>
        <w:jc w:val="both"/>
      </w:pPr>
      <w:r>
        <w:rPr>
          <w:rFonts w:ascii="Dosis" w:eastAsia="Dosis" w:hAnsi="Dosis" w:cs="Dosis"/>
          <w:color w:val="000000"/>
        </w:rPr>
        <w:t xml:space="preserve">Tanık kendisine sorulan sorulara cevap vermez veya yemin etmemekte direnirse o mahkemece </w:t>
      </w:r>
      <w:r>
        <w:rPr>
          <w:rFonts w:ascii="Dosis Bold" w:eastAsia="Dosis Bold" w:hAnsi="Dosis Bold" w:cs="Dosis Bold"/>
          <w:b/>
          <w:bCs/>
          <w:color w:val="000000"/>
        </w:rPr>
        <w:t>2 HAFTAYI</w:t>
      </w:r>
      <w:r>
        <w:rPr>
          <w:rFonts w:ascii="Dosis" w:eastAsia="Dosis" w:hAnsi="Dosis" w:cs="Dosis"/>
          <w:color w:val="000000"/>
        </w:rPr>
        <w:t xml:space="preserve"> geçmemek üzere disiplin hapsine mahkûm edilir. </w:t>
      </w:r>
    </w:p>
    <w:p w:rsidR="000B60D3" w:rsidRPr="00A462F8" w:rsidRDefault="00405E23" w:rsidP="00A462F8">
      <w:pPr>
        <w:numPr>
          <w:ilvl w:val="0"/>
          <w:numId w:val="3"/>
        </w:numPr>
        <w:spacing w:after="0" w:line="377" w:lineRule="auto"/>
        <w:jc w:val="both"/>
      </w:pPr>
      <w:r>
        <w:rPr>
          <w:rFonts w:ascii="Dosis" w:eastAsia="Dosis" w:hAnsi="Dosis" w:cs="Dosis"/>
          <w:color w:val="000000"/>
        </w:rPr>
        <w:t xml:space="preserve">Bilirkişinin görevini yapmaktan yasaklı olması ve reddi, Ret sebeplerinden birinin bilirkişinin şahsında gerçekleşmesi hâlinde taraflar, bilirkişinin reddini talep edebileceği gibi, bilirkişi de kendisini reddedebilir. Ret talebi veya bilirkişinin kendisini reddetmesinin, ret sebebinin öğrenilmesinden itibaren en geç  </w:t>
      </w:r>
      <w:r>
        <w:rPr>
          <w:rFonts w:ascii="Dosis Bold" w:eastAsia="Dosis Bold" w:hAnsi="Dosis Bold" w:cs="Dosis Bold"/>
          <w:b/>
          <w:bCs/>
          <w:color w:val="000000"/>
        </w:rPr>
        <w:t>1 HAFTA</w:t>
      </w:r>
      <w:r>
        <w:rPr>
          <w:rFonts w:ascii="Dosis" w:eastAsia="Dosis" w:hAnsi="Dosis" w:cs="Dosis"/>
          <w:color w:val="000000"/>
        </w:rPr>
        <w:t xml:space="preserve"> içinde yapılmış olması şarttır. </w:t>
      </w:r>
    </w:p>
    <w:p w:rsidR="00A462F8" w:rsidRDefault="00A462F8" w:rsidP="00A462F8">
      <w:pPr>
        <w:spacing w:after="0" w:line="377" w:lineRule="auto"/>
        <w:jc w:val="both"/>
        <w:rPr>
          <w:rFonts w:ascii="Dosis" w:eastAsia="Dosis" w:hAnsi="Dosis" w:cs="Dosis"/>
          <w:color w:val="000000"/>
        </w:rPr>
      </w:pPr>
    </w:p>
    <w:p w:rsidR="00A462F8" w:rsidRDefault="00A462F8" w:rsidP="00A462F8">
      <w:pPr>
        <w:spacing w:after="0" w:line="377" w:lineRule="auto"/>
        <w:jc w:val="both"/>
        <w:rPr>
          <w:rFonts w:ascii="Dosis" w:eastAsia="Dosis" w:hAnsi="Dosis" w:cs="Dosis"/>
          <w:color w:val="000000"/>
        </w:rPr>
      </w:pPr>
    </w:p>
    <w:p w:rsidR="006C4676" w:rsidRDefault="006C4676" w:rsidP="00A462F8">
      <w:pPr>
        <w:spacing w:after="0" w:line="377" w:lineRule="auto"/>
        <w:jc w:val="right"/>
        <w:rPr>
          <w:rFonts w:ascii="Dosis" w:eastAsia="Dosis" w:hAnsi="Dosis" w:cs="Dosis"/>
          <w:b/>
          <w:color w:val="000000"/>
        </w:rPr>
      </w:pPr>
    </w:p>
    <w:p w:rsidR="00A462F8" w:rsidRPr="00A462F8" w:rsidRDefault="00A462F8" w:rsidP="00A462F8">
      <w:pPr>
        <w:spacing w:after="0" w:line="377" w:lineRule="auto"/>
        <w:jc w:val="right"/>
        <w:rPr>
          <w:b/>
        </w:rPr>
      </w:pPr>
      <w:r w:rsidRPr="00A462F8">
        <w:rPr>
          <w:rFonts w:ascii="Dosis" w:eastAsia="Dosis" w:hAnsi="Dosis" w:cs="Dosis"/>
          <w:b/>
          <w:color w:val="000000"/>
        </w:rPr>
        <w:lastRenderedPageBreak/>
        <w:t>SAYFA 4</w:t>
      </w:r>
    </w:p>
    <w:p w:rsidR="000B60D3" w:rsidRDefault="00405E23" w:rsidP="00A462F8">
      <w:pPr>
        <w:numPr>
          <w:ilvl w:val="0"/>
          <w:numId w:val="3"/>
        </w:numPr>
        <w:spacing w:after="0" w:line="377" w:lineRule="auto"/>
        <w:jc w:val="both"/>
      </w:pPr>
      <w:r>
        <w:rPr>
          <w:rFonts w:ascii="Dosis" w:eastAsia="Dosis" w:hAnsi="Dosis" w:cs="Dosis"/>
          <w:color w:val="000000"/>
        </w:rPr>
        <w:t xml:space="preserve">Bilgisine başvurulan bilirkişi, kendisine tevdi olunan görevin, uzmanlık alanına girmediğini, inceleme konusu maddi vakıaların açıklığa kavuşturulması ve tespiti için, uzman kimliği bulunan başka bir bilirkişi ile işbirliğine ihtiyaç duyduğunu veya görevi kabulden kaçınmasını haklı kılacak mazeretini </w:t>
      </w:r>
      <w:r>
        <w:rPr>
          <w:rFonts w:ascii="Dosis Bold" w:eastAsia="Dosis Bold" w:hAnsi="Dosis Bold" w:cs="Dosis Bold"/>
          <w:b/>
          <w:bCs/>
          <w:color w:val="000000"/>
        </w:rPr>
        <w:t>1 HAFTA</w:t>
      </w:r>
      <w:r>
        <w:rPr>
          <w:rFonts w:ascii="Dosis" w:eastAsia="Dosis" w:hAnsi="Dosis" w:cs="Dosis"/>
          <w:color w:val="000000"/>
        </w:rPr>
        <w:t xml:space="preserve"> içinde görevlendirmeyi yapan mahkemeye bildirir. </w:t>
      </w:r>
    </w:p>
    <w:p w:rsidR="000B60D3" w:rsidRDefault="00405E23">
      <w:pPr>
        <w:numPr>
          <w:ilvl w:val="0"/>
          <w:numId w:val="4"/>
        </w:numPr>
        <w:spacing w:after="0" w:line="377" w:lineRule="auto"/>
        <w:jc w:val="both"/>
      </w:pPr>
      <w:r>
        <w:rPr>
          <w:rFonts w:ascii="Dosis" w:eastAsia="Dosis" w:hAnsi="Dosis" w:cs="Dosis"/>
          <w:color w:val="000000"/>
        </w:rPr>
        <w:t xml:space="preserve">Bilirkişi, incelemesini gerçekleştirebilmek için, bazı hususların önceden soruşturulması ve tespiti ile bazı kayıt ve belgelerin getirtilmesine ihtiyaç duyuyorsa, bunun sağlanması için, </w:t>
      </w:r>
      <w:r>
        <w:rPr>
          <w:rFonts w:ascii="Dosis Bold" w:eastAsia="Dosis Bold" w:hAnsi="Dosis Bold" w:cs="Dosis Bold"/>
          <w:b/>
          <w:bCs/>
          <w:color w:val="000000"/>
        </w:rPr>
        <w:t>1 HAFTA</w:t>
      </w:r>
      <w:r>
        <w:rPr>
          <w:rFonts w:ascii="Dosis" w:eastAsia="Dosis" w:hAnsi="Dosis" w:cs="Dosis"/>
          <w:color w:val="000000"/>
        </w:rPr>
        <w:t xml:space="preserve"> içinde kendisini görevlendiren mahkemeye bilgi verir ve talepte bulunur. </w:t>
      </w:r>
    </w:p>
    <w:p w:rsidR="000B60D3" w:rsidRDefault="00405E23">
      <w:pPr>
        <w:numPr>
          <w:ilvl w:val="0"/>
          <w:numId w:val="4"/>
        </w:numPr>
        <w:spacing w:after="0" w:line="377" w:lineRule="auto"/>
        <w:jc w:val="both"/>
      </w:pPr>
      <w:r>
        <w:rPr>
          <w:rFonts w:ascii="Dosis" w:eastAsia="Dosis" w:hAnsi="Dosis" w:cs="Dosis"/>
          <w:color w:val="000000"/>
        </w:rPr>
        <w:t xml:space="preserve">Taraflar, bilirkişi raporunun, kendilerine tebliği tarihinden itibaren </w:t>
      </w:r>
      <w:r>
        <w:rPr>
          <w:rFonts w:ascii="Dosis Bold" w:eastAsia="Dosis Bold" w:hAnsi="Dosis Bold" w:cs="Dosis Bold"/>
          <w:b/>
          <w:bCs/>
          <w:color w:val="000000"/>
        </w:rPr>
        <w:t>2 HAFTA</w:t>
      </w:r>
      <w:r>
        <w:rPr>
          <w:rFonts w:ascii="Dosis" w:eastAsia="Dosis" w:hAnsi="Dosis" w:cs="Dosis"/>
          <w:color w:val="000000"/>
        </w:rPr>
        <w:t xml:space="preserve"> içinde bilirkişi raporuna itiraz edebilir. </w:t>
      </w:r>
    </w:p>
    <w:p w:rsidR="000B60D3" w:rsidRDefault="00405E23">
      <w:pPr>
        <w:numPr>
          <w:ilvl w:val="0"/>
          <w:numId w:val="4"/>
        </w:numPr>
        <w:spacing w:after="0" w:line="377" w:lineRule="auto"/>
        <w:jc w:val="both"/>
      </w:pPr>
      <w:r>
        <w:rPr>
          <w:rFonts w:ascii="Dosis" w:eastAsia="Dosis" w:hAnsi="Dosis" w:cs="Dosis"/>
          <w:color w:val="000000"/>
        </w:rPr>
        <w:t xml:space="preserve">Bilirkişi raporuna karşı talebin bu süre içinde hazırlanmasının çok zor veya imkânsız olması ya da özel yahut teknik bir çalışmayı gerektirmesi hâlinde yine bu süre içinde mahkemeye başvuran tarafa, sürenin bitiminden itibaren işlemeye başlamak, bir defaya mahsus olmak ve </w:t>
      </w:r>
      <w:r>
        <w:rPr>
          <w:rFonts w:ascii="Dosis Bold" w:eastAsia="Dosis Bold" w:hAnsi="Dosis Bold" w:cs="Dosis Bold"/>
          <w:b/>
          <w:bCs/>
          <w:color w:val="000000"/>
        </w:rPr>
        <w:t xml:space="preserve">2 HAFTAYI </w:t>
      </w:r>
      <w:r>
        <w:rPr>
          <w:rFonts w:ascii="Dosis" w:eastAsia="Dosis" w:hAnsi="Dosis" w:cs="Dosis"/>
          <w:color w:val="000000"/>
        </w:rPr>
        <w:t xml:space="preserve"> geçmemek üzere ek süre verilebilir. </w:t>
      </w:r>
    </w:p>
    <w:p w:rsidR="000B60D3" w:rsidRDefault="00405E23">
      <w:pPr>
        <w:numPr>
          <w:ilvl w:val="0"/>
          <w:numId w:val="4"/>
        </w:numPr>
        <w:spacing w:after="0" w:line="377" w:lineRule="auto"/>
        <w:jc w:val="both"/>
      </w:pPr>
      <w:r>
        <w:rPr>
          <w:rFonts w:ascii="Dosis" w:eastAsia="Dosis" w:hAnsi="Dosis" w:cs="Dosis"/>
          <w:color w:val="000000"/>
        </w:rPr>
        <w:t>Cevap süresi, dava dilekçesinin davalıya tebliğinden itibaren</w:t>
      </w:r>
      <w:r>
        <w:rPr>
          <w:rFonts w:ascii="Dosis Bold" w:eastAsia="Dosis Bold" w:hAnsi="Dosis Bold" w:cs="Dosis Bold"/>
          <w:b/>
          <w:bCs/>
          <w:color w:val="000000"/>
        </w:rPr>
        <w:t xml:space="preserve"> 2 HAFTADIR. </w:t>
      </w:r>
    </w:p>
    <w:p w:rsidR="000B60D3" w:rsidRDefault="00405E23">
      <w:pPr>
        <w:numPr>
          <w:ilvl w:val="0"/>
          <w:numId w:val="4"/>
        </w:numPr>
        <w:spacing w:after="0" w:line="377" w:lineRule="auto"/>
        <w:jc w:val="both"/>
      </w:pPr>
      <w:r>
        <w:rPr>
          <w:rFonts w:ascii="Dosis" w:eastAsia="Dosis" w:hAnsi="Dosis" w:cs="Dosis"/>
          <w:color w:val="000000"/>
        </w:rPr>
        <w:t xml:space="preserve">Cevap dilekçesi, Mahkeme durum ve koşullara göre cevap dilekçesinin bu süre içinde hazırlanmasının çok zor yahut imkânsız olduğu durumlarda, yine bu süre zarfında mahkemeye başvuran davalıya, cevap süresinin bitiminden itibaren işlemeye başlamak, bir defaya mahsus olmak ve </w:t>
      </w:r>
      <w:r>
        <w:rPr>
          <w:rFonts w:ascii="Dosis Bold" w:eastAsia="Dosis Bold" w:hAnsi="Dosis Bold" w:cs="Dosis Bold"/>
          <w:b/>
          <w:bCs/>
          <w:color w:val="000000"/>
        </w:rPr>
        <w:t>2 HAFTAYI</w:t>
      </w:r>
      <w:r>
        <w:rPr>
          <w:rFonts w:ascii="Dosis" w:eastAsia="Dosis" w:hAnsi="Dosis" w:cs="Dosis"/>
          <w:color w:val="000000"/>
        </w:rPr>
        <w:t xml:space="preserve"> geçmemek üzere ek bir süre verebilir. </w:t>
      </w:r>
      <w:r w:rsidR="003E12C0" w:rsidRPr="003E12C0">
        <w:rPr>
          <w:rFonts w:ascii="Dosis" w:eastAsia="Dosis" w:hAnsi="Dosis" w:cs="Dosis"/>
          <w:b/>
          <w:color w:val="000000"/>
        </w:rPr>
        <w:t>(Basit Yargılamada- ek süre cevap dilekçesi için 2 haftadır)</w:t>
      </w:r>
    </w:p>
    <w:p w:rsidR="000B60D3" w:rsidRDefault="00405E23">
      <w:pPr>
        <w:numPr>
          <w:ilvl w:val="0"/>
          <w:numId w:val="4"/>
        </w:numPr>
        <w:spacing w:after="0" w:line="377" w:lineRule="auto"/>
        <w:jc w:val="both"/>
      </w:pPr>
      <w:r>
        <w:rPr>
          <w:rFonts w:ascii="Dosis" w:eastAsia="Dosis" w:hAnsi="Dosis" w:cs="Dosis"/>
          <w:color w:val="000000"/>
        </w:rPr>
        <w:t xml:space="preserve">Tarafların üzerinde serbestçe tasarruf edemeyeceği dava ve işlerde, hâkim tarafından resen başvurulan deliller için gereken giderlerin, </w:t>
      </w:r>
      <w:r>
        <w:rPr>
          <w:rFonts w:ascii="Dosis Bold" w:eastAsia="Dosis Bold" w:hAnsi="Dosis Bold" w:cs="Dosis Bold"/>
          <w:b/>
          <w:bCs/>
          <w:color w:val="000000"/>
        </w:rPr>
        <w:t>1 HAFTALIK</w:t>
      </w:r>
      <w:r>
        <w:rPr>
          <w:rFonts w:ascii="Dosis" w:eastAsia="Dosis" w:hAnsi="Dosis" w:cs="Dosis"/>
          <w:color w:val="000000"/>
        </w:rPr>
        <w:t xml:space="preserve"> süre içinde taraflardan birisi veya belirtilecek oranda her ikisi tarafından ödenmesine karar verilir. </w:t>
      </w:r>
    </w:p>
    <w:p w:rsidR="000B60D3" w:rsidRDefault="00405E23">
      <w:pPr>
        <w:numPr>
          <w:ilvl w:val="0"/>
          <w:numId w:val="4"/>
        </w:numPr>
        <w:spacing w:after="0" w:line="377" w:lineRule="auto"/>
        <w:jc w:val="both"/>
      </w:pPr>
      <w:r>
        <w:rPr>
          <w:rFonts w:ascii="Dosis" w:eastAsia="Dosis" w:hAnsi="Dosis" w:cs="Dosis"/>
          <w:color w:val="000000"/>
        </w:rPr>
        <w:t xml:space="preserve">Adli yardım talebinin reddine ilişkin kararlara karşı, tebliğinden itibaren </w:t>
      </w:r>
      <w:r>
        <w:rPr>
          <w:rFonts w:ascii="Dosis Bold" w:eastAsia="Dosis Bold" w:hAnsi="Dosis Bold" w:cs="Dosis Bold"/>
          <w:b/>
          <w:bCs/>
          <w:color w:val="000000"/>
        </w:rPr>
        <w:t>2 HAFTA</w:t>
      </w:r>
      <w:r>
        <w:rPr>
          <w:rFonts w:ascii="Dosis" w:eastAsia="Dosis" w:hAnsi="Dosis" w:cs="Dosis"/>
          <w:color w:val="000000"/>
        </w:rPr>
        <w:t xml:space="preserve"> içinde kararı veren mahkemeye dilekçe vermek suretiyle itiraz edilebilir. </w:t>
      </w:r>
    </w:p>
    <w:p w:rsidR="00A462F8" w:rsidRPr="00A462F8" w:rsidRDefault="00405E23" w:rsidP="00A462F8">
      <w:pPr>
        <w:numPr>
          <w:ilvl w:val="0"/>
          <w:numId w:val="4"/>
        </w:numPr>
        <w:spacing w:after="0" w:line="377" w:lineRule="auto"/>
        <w:jc w:val="both"/>
      </w:pPr>
      <w:r>
        <w:rPr>
          <w:rFonts w:ascii="Dosis" w:eastAsia="Dosis" w:hAnsi="Dosis" w:cs="Dosis"/>
          <w:color w:val="000000"/>
        </w:rPr>
        <w:t xml:space="preserve">İstinaf dilekçesi verilirken, istinaf kanun yoluna başvuru için gerekli harçlar ve tebliğ giderleri de dâhil olmak üzere tüm giderler ödenir. Bunların hiç ödenmediği veya eksik ödenmiş olduğu sonradan anlaşılırsa, kararı veren mahkeme tarafından verilecek </w:t>
      </w:r>
      <w:r>
        <w:rPr>
          <w:rFonts w:ascii="Dosis Bold" w:eastAsia="Dosis Bold" w:hAnsi="Dosis Bold" w:cs="Dosis Bold"/>
          <w:b/>
          <w:bCs/>
          <w:color w:val="000000"/>
        </w:rPr>
        <w:t xml:space="preserve">1 HAFTALIK </w:t>
      </w:r>
      <w:r>
        <w:rPr>
          <w:rFonts w:ascii="Dosis" w:eastAsia="Dosis" w:hAnsi="Dosis" w:cs="Dosis"/>
          <w:color w:val="000000"/>
        </w:rPr>
        <w:t xml:space="preserve">kesin süre içinde tamamlanması gerekir. </w:t>
      </w:r>
    </w:p>
    <w:p w:rsidR="00A462F8" w:rsidRDefault="00A462F8" w:rsidP="00A462F8">
      <w:pPr>
        <w:numPr>
          <w:ilvl w:val="0"/>
          <w:numId w:val="4"/>
        </w:numPr>
        <w:spacing w:after="0" w:line="377" w:lineRule="auto"/>
        <w:jc w:val="both"/>
      </w:pPr>
      <w:r>
        <w:rPr>
          <w:rFonts w:ascii="Dosis" w:eastAsia="Dosis" w:hAnsi="Dosis" w:cs="Dosis"/>
          <w:color w:val="000000"/>
        </w:rPr>
        <w:t xml:space="preserve">Bölge adliye mahkemesi hukuk dairelerinden verilen temyizi kabil nihai kararlar ile hakem kararlarının iptali talebi üzerine verilen kararlara karşı tebliğ tarihinden itibaren </w:t>
      </w:r>
      <w:r>
        <w:rPr>
          <w:rFonts w:ascii="Dosis Bold" w:eastAsia="Dosis Bold" w:hAnsi="Dosis Bold" w:cs="Dosis Bold"/>
          <w:b/>
          <w:bCs/>
          <w:color w:val="000000"/>
        </w:rPr>
        <w:t>2 HAFTA</w:t>
      </w:r>
      <w:r>
        <w:rPr>
          <w:rFonts w:ascii="Dosis" w:eastAsia="Dosis" w:hAnsi="Dosis" w:cs="Dosis"/>
          <w:color w:val="000000"/>
        </w:rPr>
        <w:t xml:space="preserve"> içinde temyiz yoluna başvurulabilir. </w:t>
      </w:r>
    </w:p>
    <w:p w:rsidR="00A462F8" w:rsidRDefault="00A462F8" w:rsidP="00405E23">
      <w:pPr>
        <w:spacing w:after="0" w:line="377" w:lineRule="auto"/>
        <w:ind w:left="400"/>
        <w:jc w:val="both"/>
      </w:pPr>
    </w:p>
    <w:p w:rsidR="006C4676" w:rsidRDefault="006C4676" w:rsidP="00A462F8">
      <w:pPr>
        <w:spacing w:before="120" w:after="120" w:line="377" w:lineRule="auto"/>
        <w:jc w:val="right"/>
        <w:rPr>
          <w:rFonts w:ascii="Dosis" w:eastAsia="Dosis" w:hAnsi="Dosis" w:cs="Dosis"/>
          <w:b/>
          <w:color w:val="000000"/>
        </w:rPr>
      </w:pPr>
    </w:p>
    <w:p w:rsidR="00A462F8" w:rsidRPr="00A462F8" w:rsidRDefault="00A462F8" w:rsidP="00A462F8">
      <w:pPr>
        <w:spacing w:before="120" w:after="120" w:line="377" w:lineRule="auto"/>
        <w:jc w:val="right"/>
        <w:rPr>
          <w:b/>
        </w:rPr>
      </w:pPr>
      <w:bookmarkStart w:id="0" w:name="_GoBack"/>
      <w:bookmarkEnd w:id="0"/>
      <w:r w:rsidRPr="00A462F8">
        <w:rPr>
          <w:rFonts w:ascii="Dosis" w:eastAsia="Dosis" w:hAnsi="Dosis" w:cs="Dosis"/>
          <w:b/>
          <w:color w:val="000000"/>
        </w:rPr>
        <w:lastRenderedPageBreak/>
        <w:t>SAYFA 5</w:t>
      </w:r>
    </w:p>
    <w:p w:rsidR="000B60D3" w:rsidRDefault="00405E23">
      <w:pPr>
        <w:numPr>
          <w:ilvl w:val="0"/>
          <w:numId w:val="4"/>
        </w:numPr>
        <w:spacing w:after="0" w:line="377" w:lineRule="auto"/>
        <w:jc w:val="both"/>
      </w:pPr>
      <w:r>
        <w:rPr>
          <w:rFonts w:ascii="Dosis" w:eastAsia="Dosis" w:hAnsi="Dosis" w:cs="Dosis"/>
          <w:color w:val="000000"/>
        </w:rPr>
        <w:t xml:space="preserve">İstinaf, Duruşmalı olarak incelenen işlerde taraflara çıkartılan davetiyelerde, duruşmada hazır bulunmadıkları takdirde tahkikatın yokluklarında yapılarak karar verileceği hususu ile başvuran tarafa çıkartılacak davetiyede, ayrıca, yapılacak tahkikatla ilgili olarak bölge adliye mahkemesince belirlenen gideri, </w:t>
      </w:r>
      <w:r>
        <w:rPr>
          <w:rFonts w:ascii="Dosis Bold" w:eastAsia="Dosis Bold" w:hAnsi="Dosis Bold" w:cs="Dosis Bold"/>
          <w:b/>
          <w:bCs/>
          <w:color w:val="000000"/>
        </w:rPr>
        <w:t>2 HAFTADAN</w:t>
      </w:r>
      <w:r>
        <w:rPr>
          <w:rFonts w:ascii="Dosis" w:eastAsia="Dosis" w:hAnsi="Dosis" w:cs="Dosis"/>
          <w:color w:val="000000"/>
        </w:rPr>
        <w:t xml:space="preserve"> az olmamak üzere verilecek kesin süre içinde avans olarak yatırması gerektiği açıkça belirtilir. </w:t>
      </w:r>
    </w:p>
    <w:p w:rsidR="000B60D3" w:rsidRDefault="00405E23">
      <w:pPr>
        <w:numPr>
          <w:ilvl w:val="0"/>
          <w:numId w:val="5"/>
        </w:numPr>
        <w:spacing w:after="0" w:line="377" w:lineRule="auto"/>
        <w:jc w:val="both"/>
      </w:pPr>
      <w:r>
        <w:rPr>
          <w:rFonts w:ascii="Dosis" w:eastAsia="Dosis" w:hAnsi="Dosis" w:cs="Dosis"/>
          <w:color w:val="000000"/>
        </w:rPr>
        <w:t xml:space="preserve">Yargıtay dosyalarında, Taraflardan biri temyiz veya cevap dilekçesinde duruşma yapılmasını talep etmiş ise Yargıtayca bir gün belli edilerek taraflara usulen davetiye gönderilir. Tebliğ tarihi ile duruşma günü arasında en az  </w:t>
      </w:r>
      <w:r>
        <w:rPr>
          <w:rFonts w:ascii="Dosis Bold" w:eastAsia="Dosis Bold" w:hAnsi="Dosis Bold" w:cs="Dosis Bold"/>
          <w:b/>
          <w:bCs/>
          <w:color w:val="000000"/>
        </w:rPr>
        <w:t>2 HAFTA</w:t>
      </w:r>
      <w:r>
        <w:rPr>
          <w:rFonts w:ascii="Dosis" w:eastAsia="Dosis" w:hAnsi="Dosis" w:cs="Dosis"/>
          <w:color w:val="000000"/>
        </w:rPr>
        <w:t xml:space="preserve"> bulunması gerekir. </w:t>
      </w:r>
    </w:p>
    <w:p w:rsidR="000B60D3" w:rsidRDefault="00405E23">
      <w:pPr>
        <w:numPr>
          <w:ilvl w:val="0"/>
          <w:numId w:val="5"/>
        </w:numPr>
        <w:spacing w:after="0" w:line="377" w:lineRule="auto"/>
        <w:jc w:val="both"/>
      </w:pPr>
      <w:r>
        <w:rPr>
          <w:rFonts w:ascii="Dosis" w:eastAsia="Dosis" w:hAnsi="Dosis" w:cs="Dosis"/>
          <w:color w:val="000000"/>
        </w:rPr>
        <w:t xml:space="preserve">Çekişmesiz yargı işlerinde verilen kararlara karşı hukuki yararı bulunan ilgililer, özel kanuni düzenlemeler saklı kalmak kaydıyla, kararın öğrenilmesinden itibaren </w:t>
      </w:r>
      <w:r>
        <w:rPr>
          <w:rFonts w:ascii="Dosis Bold" w:eastAsia="Dosis Bold" w:hAnsi="Dosis Bold" w:cs="Dosis Bold"/>
          <w:b/>
          <w:bCs/>
          <w:color w:val="000000"/>
        </w:rPr>
        <w:t xml:space="preserve">2 HAFTA </w:t>
      </w:r>
      <w:r>
        <w:rPr>
          <w:rFonts w:ascii="Dosis" w:eastAsia="Dosis" w:hAnsi="Dosis" w:cs="Dosis"/>
          <w:color w:val="000000"/>
        </w:rPr>
        <w:t xml:space="preserve">içinde, bu Kanun hükümleri dairesinde istinaf yoluna başvurabilirler.  </w:t>
      </w:r>
    </w:p>
    <w:p w:rsidR="000B60D3" w:rsidRDefault="00405E23">
      <w:pPr>
        <w:numPr>
          <w:ilvl w:val="0"/>
          <w:numId w:val="5"/>
        </w:numPr>
        <w:spacing w:after="0" w:line="377" w:lineRule="auto"/>
        <w:jc w:val="both"/>
      </w:pPr>
      <w:r>
        <w:rPr>
          <w:rFonts w:ascii="Dosis" w:eastAsia="Dosis" w:hAnsi="Dosis" w:cs="Dosis"/>
          <w:color w:val="000000"/>
        </w:rPr>
        <w:t xml:space="preserve">İhtiyati tedbir kararının uygulanması, bu kararın, tedbir isteyen tarafa tefhim veya tebliğinden itibaren </w:t>
      </w:r>
      <w:r>
        <w:rPr>
          <w:rFonts w:ascii="Dosis Bold" w:eastAsia="Dosis Bold" w:hAnsi="Dosis Bold" w:cs="Dosis Bold"/>
          <w:b/>
          <w:bCs/>
          <w:color w:val="000000"/>
        </w:rPr>
        <w:t>1 HAFTA</w:t>
      </w:r>
      <w:r>
        <w:rPr>
          <w:rFonts w:ascii="Dosis" w:eastAsia="Dosis" w:hAnsi="Dosis" w:cs="Dosis"/>
          <w:color w:val="000000"/>
        </w:rPr>
        <w:t xml:space="preserve"> içinde talep edilmek zorundadır.  </w:t>
      </w:r>
    </w:p>
    <w:p w:rsidR="000B60D3" w:rsidRDefault="00405E23">
      <w:pPr>
        <w:numPr>
          <w:ilvl w:val="0"/>
          <w:numId w:val="5"/>
        </w:numPr>
        <w:spacing w:after="0" w:line="377" w:lineRule="auto"/>
        <w:jc w:val="both"/>
      </w:pPr>
      <w:r>
        <w:rPr>
          <w:rFonts w:ascii="Dosis" w:eastAsia="Dosis" w:hAnsi="Dosis" w:cs="Dosis"/>
          <w:color w:val="000000"/>
        </w:rPr>
        <w:t xml:space="preserve">İhtiyati tedbirin uygulanması sırasında karşı taraf hazır bulunuyorsa, tedbirin uygulanmasından itibaren; hazır bulunmuyorsa tedbirin uygulanmasına ilişkin tutanağın tebliğinden itibaren </w:t>
      </w:r>
      <w:r>
        <w:rPr>
          <w:rFonts w:ascii="Dosis Bold" w:eastAsia="Dosis Bold" w:hAnsi="Dosis Bold" w:cs="Dosis Bold"/>
          <w:b/>
          <w:bCs/>
          <w:color w:val="000000"/>
        </w:rPr>
        <w:t>1 HAFTA</w:t>
      </w:r>
      <w:r>
        <w:rPr>
          <w:rFonts w:ascii="Dosis" w:eastAsia="Dosis" w:hAnsi="Dosis" w:cs="Dosis"/>
          <w:color w:val="000000"/>
        </w:rPr>
        <w:t xml:space="preserve"> içinde, ihtiyati tedbirin şartlarına, mahkemenin yetkisine ve teminata ilişkin olarak, kararı veren mahkemeye itiraz edebilir. </w:t>
      </w:r>
    </w:p>
    <w:p w:rsidR="000B60D3" w:rsidRDefault="00405E23">
      <w:pPr>
        <w:numPr>
          <w:ilvl w:val="0"/>
          <w:numId w:val="5"/>
        </w:numPr>
        <w:spacing w:after="0" w:line="377" w:lineRule="auto"/>
        <w:jc w:val="both"/>
      </w:pPr>
      <w:r>
        <w:rPr>
          <w:rFonts w:ascii="Dosis" w:eastAsia="Dosis" w:hAnsi="Dosis" w:cs="Dosis"/>
          <w:color w:val="000000"/>
        </w:rPr>
        <w:t xml:space="preserve">İhtiyati tedbir kararının uygulanması sebebiyle menfaati açıkça ihlal edilen üçüncü kişiler de ihtiyati tedbiri öğrenmelerinden itibaren </w:t>
      </w:r>
      <w:r>
        <w:rPr>
          <w:rFonts w:ascii="Dosis Bold" w:eastAsia="Dosis Bold" w:hAnsi="Dosis Bold" w:cs="Dosis Bold"/>
          <w:b/>
          <w:bCs/>
          <w:color w:val="000000"/>
        </w:rPr>
        <w:t>1 HAFTA</w:t>
      </w:r>
      <w:r>
        <w:rPr>
          <w:rFonts w:ascii="Dosis" w:eastAsia="Dosis" w:hAnsi="Dosis" w:cs="Dosis"/>
          <w:color w:val="000000"/>
        </w:rPr>
        <w:t xml:space="preserve"> içinde ihtiyati tedbirin şartlarına ve teminata itiraz edebilirler. </w:t>
      </w:r>
    </w:p>
    <w:p w:rsidR="00A462F8" w:rsidRPr="00A462F8" w:rsidRDefault="00405E23" w:rsidP="00A462F8">
      <w:pPr>
        <w:numPr>
          <w:ilvl w:val="0"/>
          <w:numId w:val="5"/>
        </w:numPr>
        <w:spacing w:after="0" w:line="377" w:lineRule="auto"/>
        <w:jc w:val="both"/>
      </w:pPr>
      <w:r>
        <w:rPr>
          <w:rFonts w:ascii="Dosis" w:eastAsia="Dosis" w:hAnsi="Dosis" w:cs="Dosis"/>
          <w:color w:val="000000"/>
        </w:rPr>
        <w:t xml:space="preserve">İhtiyati tedbir kararı dava açılmasından önce verilmişse, tedbir talep eden, bu kararın uygulanmasını talep ettiği tarihten itibaren </w:t>
      </w:r>
      <w:r>
        <w:rPr>
          <w:rFonts w:ascii="Dosis Bold" w:eastAsia="Dosis Bold" w:hAnsi="Dosis Bold" w:cs="Dosis Bold"/>
          <w:b/>
          <w:bCs/>
          <w:color w:val="000000"/>
        </w:rPr>
        <w:t>2 HAFTA</w:t>
      </w:r>
      <w:r>
        <w:rPr>
          <w:rFonts w:ascii="Dosis" w:eastAsia="Dosis" w:hAnsi="Dosis" w:cs="Dosis"/>
          <w:color w:val="000000"/>
        </w:rPr>
        <w:t xml:space="preserve"> içinde esas hakkındaki davasını açmak ve dava açtığına ilişkin evrakı, kararı uygulayan memura ibrazla dosyaya koydurtmak ve karşılığında bir belge almak zorundadır. </w:t>
      </w:r>
    </w:p>
    <w:p w:rsidR="000B60D3" w:rsidRPr="00A462F8" w:rsidRDefault="00405E23">
      <w:pPr>
        <w:numPr>
          <w:ilvl w:val="0"/>
          <w:numId w:val="5"/>
        </w:numPr>
        <w:spacing w:after="0" w:line="377" w:lineRule="auto"/>
        <w:jc w:val="both"/>
      </w:pPr>
      <w:r>
        <w:rPr>
          <w:rFonts w:ascii="Dosis" w:eastAsia="Dosis" w:hAnsi="Dosis" w:cs="Dosis"/>
          <w:color w:val="000000"/>
        </w:rPr>
        <w:t xml:space="preserve">Tedbire muhalefetin cezası, ihtiyati tedbir kararının uygulanmasına ilişkin emre uymadığı veya tedbir kararına aykırı davrandığı tespit edilirse, birinci fıkra uyarınca disiplin hapsi ile cezalandırılmasına; aksi takdirde şikâyetin reddine karar verilir.Taraflar, kararın tebliğinden itibaren </w:t>
      </w:r>
      <w:r>
        <w:rPr>
          <w:rFonts w:ascii="Dosis Bold" w:eastAsia="Dosis Bold" w:hAnsi="Dosis Bold" w:cs="Dosis Bold"/>
          <w:b/>
          <w:bCs/>
          <w:color w:val="000000"/>
        </w:rPr>
        <w:t>2 HAFTA</w:t>
      </w:r>
      <w:r>
        <w:rPr>
          <w:rFonts w:ascii="Dosis" w:eastAsia="Dosis" w:hAnsi="Dosis" w:cs="Dosis"/>
          <w:color w:val="000000"/>
        </w:rPr>
        <w:t xml:space="preserve"> içinde karara itiraz edebilir. İtirazı, o yerde hükmü veren mahkemenin birden fazla dairesinin bulunması hâlinde, numara olarak kendisinden sonra gelen daire; son numaralı daire için bir numaralı daire; o yerde hükmü veren mahkemenin tek dairesi bulunması hâlinde en yakın yerdeki aynı düzey ve sıfattaki mahkeme inceler. İtiraz merci, </w:t>
      </w:r>
      <w:r>
        <w:rPr>
          <w:rFonts w:ascii="Dosis Bold" w:eastAsia="Dosis Bold" w:hAnsi="Dosis Bold" w:cs="Dosis Bold"/>
          <w:b/>
          <w:bCs/>
          <w:color w:val="000000"/>
        </w:rPr>
        <w:t>1 HAFTA</w:t>
      </w:r>
      <w:r>
        <w:rPr>
          <w:rFonts w:ascii="Dosis" w:eastAsia="Dosis" w:hAnsi="Dosis" w:cs="Dosis"/>
          <w:color w:val="000000"/>
        </w:rPr>
        <w:t xml:space="preserve"> içinde kararını verir </w:t>
      </w:r>
    </w:p>
    <w:p w:rsidR="00A462F8" w:rsidRDefault="00A462F8" w:rsidP="00A462F8">
      <w:pPr>
        <w:spacing w:after="0" w:line="377" w:lineRule="auto"/>
        <w:jc w:val="both"/>
        <w:rPr>
          <w:rFonts w:ascii="Dosis" w:eastAsia="Dosis" w:hAnsi="Dosis" w:cs="Dosis"/>
          <w:color w:val="000000"/>
        </w:rPr>
      </w:pPr>
    </w:p>
    <w:p w:rsidR="00A462F8" w:rsidRDefault="00A462F8" w:rsidP="00A462F8">
      <w:pPr>
        <w:spacing w:after="0" w:line="377" w:lineRule="auto"/>
        <w:jc w:val="both"/>
        <w:rPr>
          <w:rFonts w:ascii="Dosis" w:eastAsia="Dosis" w:hAnsi="Dosis" w:cs="Dosis"/>
          <w:color w:val="000000"/>
        </w:rPr>
      </w:pPr>
    </w:p>
    <w:p w:rsidR="00A462F8" w:rsidRPr="00A462F8" w:rsidRDefault="00A462F8" w:rsidP="00A462F8">
      <w:pPr>
        <w:spacing w:before="120" w:after="120" w:line="377" w:lineRule="auto"/>
        <w:jc w:val="right"/>
        <w:rPr>
          <w:b/>
        </w:rPr>
      </w:pPr>
      <w:r w:rsidRPr="00A462F8">
        <w:rPr>
          <w:rFonts w:ascii="Dosis" w:eastAsia="Dosis" w:hAnsi="Dosis" w:cs="Dosis"/>
          <w:b/>
          <w:color w:val="000000"/>
        </w:rPr>
        <w:lastRenderedPageBreak/>
        <w:t xml:space="preserve">SAYFA </w:t>
      </w:r>
      <w:r>
        <w:rPr>
          <w:rFonts w:ascii="Dosis" w:eastAsia="Dosis" w:hAnsi="Dosis" w:cs="Dosis"/>
          <w:b/>
          <w:color w:val="000000"/>
        </w:rPr>
        <w:t>6</w:t>
      </w:r>
    </w:p>
    <w:p w:rsidR="000B60D3" w:rsidRDefault="00405E23">
      <w:pPr>
        <w:numPr>
          <w:ilvl w:val="0"/>
          <w:numId w:val="5"/>
        </w:numPr>
        <w:spacing w:after="0" w:line="377" w:lineRule="auto"/>
        <w:jc w:val="both"/>
      </w:pPr>
      <w:r>
        <w:rPr>
          <w:rFonts w:ascii="Dosis" w:eastAsia="Dosis" w:hAnsi="Dosis" w:cs="Dosis"/>
          <w:color w:val="000000"/>
        </w:rPr>
        <w:t xml:space="preserve">Delil tespit talebi ve karar, Tespit talebi mahkemece haklı bulunursa karar, dilekçeyle birlikte karşı tarafa tebliğ edilir. Kararda ayrıca, delil tespitinin nasıl ve ne zaman yapılacağı, tespitin icrası esnasında karşı tarafın da hazır bulunabileceği, varsa itiraz ve ilave soruların </w:t>
      </w:r>
      <w:r>
        <w:rPr>
          <w:rFonts w:ascii="Dosis Bold" w:eastAsia="Dosis Bold" w:hAnsi="Dosis Bold" w:cs="Dosis Bold"/>
          <w:b/>
          <w:bCs/>
          <w:color w:val="000000"/>
        </w:rPr>
        <w:t>1 HAFTA</w:t>
      </w:r>
      <w:r>
        <w:rPr>
          <w:rFonts w:ascii="Dosis" w:eastAsia="Dosis" w:hAnsi="Dosis" w:cs="Dosis"/>
          <w:color w:val="000000"/>
        </w:rPr>
        <w:t xml:space="preserve"> içinde bildirilmesi gerektiği belirtilir. Karşı taraf tebliğden itibaren </w:t>
      </w:r>
      <w:r>
        <w:rPr>
          <w:rFonts w:ascii="Dosis Bold" w:eastAsia="Dosis Bold" w:hAnsi="Dosis Bold" w:cs="Dosis Bold"/>
          <w:b/>
          <w:bCs/>
          <w:color w:val="000000"/>
        </w:rPr>
        <w:t>1 HAFTA</w:t>
      </w:r>
      <w:r>
        <w:rPr>
          <w:rFonts w:ascii="Dosis" w:eastAsia="Dosis" w:hAnsi="Dosis" w:cs="Dosis"/>
          <w:color w:val="000000"/>
        </w:rPr>
        <w:t xml:space="preserve"> içinde delil tespiti kararına itiraz edebilir </w:t>
      </w:r>
    </w:p>
    <w:p w:rsidR="000B60D3" w:rsidRDefault="00405E23">
      <w:pPr>
        <w:numPr>
          <w:ilvl w:val="0"/>
          <w:numId w:val="5"/>
        </w:numPr>
        <w:spacing w:after="0" w:line="377" w:lineRule="auto"/>
        <w:jc w:val="both"/>
      </w:pPr>
      <w:r>
        <w:rPr>
          <w:rFonts w:ascii="Dosis" w:eastAsia="Dosis" w:hAnsi="Dosis" w:cs="Dosis"/>
          <w:color w:val="000000"/>
        </w:rPr>
        <w:t xml:space="preserve">Tarafların aksini kararlaştırabilecekleri bir hükme veya tahkim sözleşmesine uyulmaz ise ilgili taraf bu aykırılığa itiraz edebilir. İlgili taraf, aykırılığı öğrendiği tarihten itibaren </w:t>
      </w:r>
      <w:r>
        <w:rPr>
          <w:rFonts w:ascii="Dosis Bold" w:eastAsia="Dosis Bold" w:hAnsi="Dosis Bold" w:cs="Dosis Bold"/>
          <w:b/>
          <w:bCs/>
          <w:color w:val="000000"/>
        </w:rPr>
        <w:t>2 HAFTA</w:t>
      </w:r>
      <w:r>
        <w:rPr>
          <w:rFonts w:ascii="Dosis" w:eastAsia="Dosis" w:hAnsi="Dosis" w:cs="Dosis"/>
          <w:color w:val="000000"/>
        </w:rPr>
        <w:t xml:space="preserve"> veya hakemlerin bu konuda kararlaştırdıkları süre içinde itiraz etmeden tahkime devam ederse, itiraz hakkından feragat etmiş sayılır. </w:t>
      </w:r>
    </w:p>
    <w:p w:rsidR="000B60D3" w:rsidRDefault="00405E23">
      <w:pPr>
        <w:numPr>
          <w:ilvl w:val="0"/>
          <w:numId w:val="6"/>
        </w:numPr>
        <w:spacing w:after="0" w:line="377" w:lineRule="auto"/>
        <w:jc w:val="both"/>
      </w:pPr>
      <w:r>
        <w:rPr>
          <w:rFonts w:ascii="Dosis" w:eastAsia="Dosis" w:hAnsi="Dosis" w:cs="Dosis"/>
          <w:color w:val="000000"/>
        </w:rPr>
        <w:t xml:space="preserve">Hakemi reddetmek isteyen taraf, hakemin veya hakem kurulunun seçiminden ya da hakemin reddi talebinde bulunabileceği bir durumun ortaya çıktığını öğrendiği tarihten itibaren </w:t>
      </w:r>
      <w:r>
        <w:rPr>
          <w:rFonts w:ascii="Dosis Bold" w:eastAsia="Dosis Bold" w:hAnsi="Dosis Bold" w:cs="Dosis Bold"/>
          <w:b/>
          <w:bCs/>
          <w:color w:val="000000"/>
        </w:rPr>
        <w:t xml:space="preserve">2 HAFTA </w:t>
      </w:r>
      <w:r>
        <w:rPr>
          <w:rFonts w:ascii="Dosis" w:eastAsia="Dosis" w:hAnsi="Dosis" w:cs="Dosis"/>
          <w:color w:val="000000"/>
        </w:rPr>
        <w:t xml:space="preserve">içinde ret talebinde bulunabilir. </w:t>
      </w:r>
    </w:p>
    <w:p w:rsidR="000B60D3" w:rsidRDefault="00405E23">
      <w:pPr>
        <w:numPr>
          <w:ilvl w:val="0"/>
          <w:numId w:val="6"/>
        </w:numPr>
        <w:spacing w:after="0" w:line="377" w:lineRule="auto"/>
        <w:jc w:val="both"/>
      </w:pPr>
      <w:r>
        <w:rPr>
          <w:rFonts w:ascii="Dosis" w:eastAsia="Dosis" w:hAnsi="Dosis" w:cs="Dosis"/>
          <w:color w:val="000000"/>
        </w:rPr>
        <w:t xml:space="preserve">Tahkim yeri, Taraflardan biri, mahkemeden ihtiyati tedbir veya ihtiyati haciz kararı almış ise </w:t>
      </w:r>
      <w:r>
        <w:rPr>
          <w:rFonts w:ascii="Dosis Bold" w:eastAsia="Dosis Bold" w:hAnsi="Dosis Bold" w:cs="Dosis Bold"/>
          <w:b/>
          <w:bCs/>
          <w:color w:val="000000"/>
        </w:rPr>
        <w:t xml:space="preserve">2 HAFTA </w:t>
      </w:r>
      <w:r>
        <w:rPr>
          <w:rFonts w:ascii="Dosis" w:eastAsia="Dosis" w:hAnsi="Dosis" w:cs="Dosis"/>
          <w:color w:val="000000"/>
        </w:rPr>
        <w:t xml:space="preserve">içinde tahkim davasını açmak zorundadır. </w:t>
      </w:r>
    </w:p>
    <w:p w:rsidR="000B60D3" w:rsidRDefault="00405E23">
      <w:pPr>
        <w:numPr>
          <w:ilvl w:val="0"/>
          <w:numId w:val="6"/>
        </w:numPr>
        <w:spacing w:after="0" w:line="377" w:lineRule="auto"/>
        <w:jc w:val="both"/>
      </w:pPr>
      <w:r>
        <w:rPr>
          <w:rFonts w:ascii="Dosis" w:eastAsia="Dosis" w:hAnsi="Dosis" w:cs="Dosis"/>
          <w:color w:val="000000"/>
        </w:rPr>
        <w:t xml:space="preserve">Evvelce daha farklı bir süre öngörülmemişse, taraflardan her biri, hakem kararının kendisine bildirilmesinden itibaren </w:t>
      </w:r>
      <w:r>
        <w:rPr>
          <w:rFonts w:ascii="Dosis Bold" w:eastAsia="Dosis Bold" w:hAnsi="Dosis Bold" w:cs="Dosis Bold"/>
          <w:b/>
          <w:bCs/>
          <w:color w:val="000000"/>
        </w:rPr>
        <w:t>2 HAFTA</w:t>
      </w:r>
      <w:r>
        <w:rPr>
          <w:rFonts w:ascii="Dosis" w:eastAsia="Dosis" w:hAnsi="Dosis" w:cs="Dosis"/>
          <w:color w:val="000000"/>
        </w:rPr>
        <w:t xml:space="preserve"> içinde, karşı tarafa da bilgi vermek kaydıyla, hakem veya hakem kuruluna başvurarak; kararın tavzihini ve düzeltilmesini isteyebilir. </w:t>
      </w:r>
    </w:p>
    <w:p w:rsidR="000B60D3" w:rsidRDefault="00405E23">
      <w:pPr>
        <w:numPr>
          <w:ilvl w:val="0"/>
          <w:numId w:val="6"/>
        </w:numPr>
        <w:spacing w:after="0" w:line="377" w:lineRule="auto"/>
        <w:jc w:val="both"/>
      </w:pPr>
      <w:r>
        <w:rPr>
          <w:rFonts w:ascii="Dosis" w:eastAsia="Dosis" w:hAnsi="Dosis" w:cs="Dosis"/>
          <w:color w:val="000000"/>
        </w:rPr>
        <w:t xml:space="preserve">Hakem veya hakem kurulu, karardaki maddi hataları karar tarihini izleyen </w:t>
      </w:r>
      <w:r>
        <w:rPr>
          <w:rFonts w:ascii="Dosis Bold" w:eastAsia="Dosis Bold" w:hAnsi="Dosis Bold" w:cs="Dosis Bold"/>
          <w:b/>
          <w:bCs/>
          <w:color w:val="000000"/>
        </w:rPr>
        <w:t>2  HAFTA</w:t>
      </w:r>
      <w:r>
        <w:rPr>
          <w:rFonts w:ascii="Dosis" w:eastAsia="Dosis" w:hAnsi="Dosis" w:cs="Dosis"/>
          <w:color w:val="000000"/>
        </w:rPr>
        <w:t xml:space="preserve"> içinde kendiliğinden de düzeltebilir. </w:t>
      </w:r>
    </w:p>
    <w:p w:rsidR="000B60D3" w:rsidRDefault="00405E23">
      <w:pPr>
        <w:spacing w:before="120" w:after="120" w:line="377" w:lineRule="auto"/>
        <w:jc w:val="center"/>
      </w:pPr>
      <w:r>
        <w:rPr>
          <w:rFonts w:ascii="Dosis Bold" w:eastAsia="Dosis Bold" w:hAnsi="Dosis Bold" w:cs="Dosis Bold"/>
          <w:b/>
          <w:bCs/>
          <w:color w:val="FF3131"/>
          <w:sz w:val="32"/>
          <w:szCs w:val="32"/>
        </w:rPr>
        <w:t xml:space="preserve">HUKUK MUHAKEMELERİ KANUNU AYLIK SÜRELER </w:t>
      </w:r>
    </w:p>
    <w:p w:rsidR="000B60D3" w:rsidRDefault="00405E23">
      <w:pPr>
        <w:numPr>
          <w:ilvl w:val="0"/>
          <w:numId w:val="7"/>
        </w:numPr>
        <w:spacing w:after="0" w:line="377" w:lineRule="auto"/>
        <w:jc w:val="both"/>
      </w:pPr>
      <w:r>
        <w:rPr>
          <w:rFonts w:ascii="Dosis" w:eastAsia="Dosis" w:hAnsi="Dosis" w:cs="Dosis"/>
          <w:color w:val="000000"/>
        </w:rPr>
        <w:t xml:space="preserve">Cevap dilekçesini verme süresi, dava dilekçesinin davalıya tebliğinden itibaren </w:t>
      </w:r>
      <w:r>
        <w:rPr>
          <w:rFonts w:ascii="Dosis Bold" w:eastAsia="Dosis Bold" w:hAnsi="Dosis Bold" w:cs="Dosis Bold"/>
          <w:b/>
          <w:bCs/>
          <w:color w:val="000000"/>
        </w:rPr>
        <w:t>2 HAFTADIR.</w:t>
      </w:r>
      <w:r w:rsidR="00903F90">
        <w:rPr>
          <w:rFonts w:ascii="Dosis Bold" w:eastAsia="Dosis Bold" w:hAnsi="Dosis Bold" w:cs="Dosis Bold"/>
          <w:b/>
          <w:bCs/>
          <w:color w:val="000000"/>
        </w:rPr>
        <w:t xml:space="preserve"> </w:t>
      </w:r>
      <w:r w:rsidR="00903F90">
        <w:rPr>
          <w:rFonts w:ascii="Dosis" w:eastAsia="Dosis" w:hAnsi="Dosis" w:cs="Dosis"/>
          <w:color w:val="000000"/>
        </w:rPr>
        <w:t>C</w:t>
      </w:r>
      <w:r>
        <w:rPr>
          <w:rFonts w:ascii="Dosis" w:eastAsia="Dosis" w:hAnsi="Dosis" w:cs="Dosis"/>
          <w:color w:val="000000"/>
        </w:rPr>
        <w:t xml:space="preserve">evap dilekçesinin bu süre içinde hazırlanmasının çok zor yahut imkânsız olduğu durumlarda, yine bu süre zarfında mahkemeye başvuran davalıya, cevap süresinin bitiminden itibaren işlemeye başlamak, bir defaya mahsus olmak ve </w:t>
      </w:r>
      <w:r>
        <w:rPr>
          <w:rFonts w:ascii="Dosis Bold" w:eastAsia="Dosis Bold" w:hAnsi="Dosis Bold" w:cs="Dosis Bold"/>
          <w:b/>
          <w:bCs/>
          <w:color w:val="000000"/>
        </w:rPr>
        <w:t>1 AYI</w:t>
      </w:r>
      <w:r>
        <w:rPr>
          <w:rFonts w:ascii="Dosis" w:eastAsia="Dosis" w:hAnsi="Dosis" w:cs="Dosis"/>
          <w:color w:val="000000"/>
        </w:rPr>
        <w:t xml:space="preserve"> geçmemek üzere ek bir süre verilebilir. </w:t>
      </w:r>
      <w:r w:rsidR="00903F90" w:rsidRPr="00903F90">
        <w:rPr>
          <w:rFonts w:ascii="Dosis" w:eastAsia="Dosis" w:hAnsi="Dosis" w:cs="Dosis"/>
          <w:b/>
          <w:color w:val="000000"/>
        </w:rPr>
        <w:t>(Yazılı yargılamada ek süre 1  ay)</w:t>
      </w:r>
    </w:p>
    <w:p w:rsidR="000B60D3" w:rsidRDefault="00405E23">
      <w:pPr>
        <w:numPr>
          <w:ilvl w:val="0"/>
          <w:numId w:val="7"/>
        </w:numPr>
        <w:spacing w:after="0" w:line="377" w:lineRule="auto"/>
        <w:jc w:val="both"/>
      </w:pPr>
      <w:r>
        <w:rPr>
          <w:rFonts w:ascii="Dosis" w:eastAsia="Dosis" w:hAnsi="Dosis" w:cs="Dosis"/>
          <w:color w:val="000000"/>
        </w:rPr>
        <w:t xml:space="preserve">Duruşma gününün belli edilmesi için tarafların başvurması gereken hâllerde gün tespit ettirilmemişse, son işlem tarihinden başlayarak </w:t>
      </w:r>
      <w:r>
        <w:rPr>
          <w:rFonts w:ascii="Dosis Bold" w:eastAsia="Dosis Bold" w:hAnsi="Dosis Bold" w:cs="Dosis Bold"/>
          <w:b/>
          <w:bCs/>
          <w:color w:val="000000"/>
        </w:rPr>
        <w:t>1 AY</w:t>
      </w:r>
      <w:r>
        <w:rPr>
          <w:rFonts w:ascii="Dosis" w:eastAsia="Dosis" w:hAnsi="Dosis" w:cs="Dosis"/>
          <w:color w:val="000000"/>
        </w:rPr>
        <w:t xml:space="preserve"> geçmekle dosya işlemden kaldırılır.  </w:t>
      </w:r>
    </w:p>
    <w:p w:rsidR="000B60D3" w:rsidRDefault="00405E23">
      <w:pPr>
        <w:numPr>
          <w:ilvl w:val="0"/>
          <w:numId w:val="7"/>
        </w:numPr>
        <w:spacing w:after="0" w:line="377" w:lineRule="auto"/>
        <w:jc w:val="both"/>
      </w:pPr>
      <w:r>
        <w:rPr>
          <w:rFonts w:ascii="Dosis" w:eastAsia="Dosis" w:hAnsi="Dosis" w:cs="Dosis"/>
          <w:color w:val="000000"/>
        </w:rPr>
        <w:t xml:space="preserve">Dava dosyası, Dosyanın işlemden kaldırıldığı tarihten başlayarak </w:t>
      </w:r>
      <w:r>
        <w:rPr>
          <w:rFonts w:ascii="Dosis Bold" w:eastAsia="Dosis Bold" w:hAnsi="Dosis Bold" w:cs="Dosis Bold"/>
          <w:b/>
          <w:bCs/>
          <w:color w:val="000000"/>
        </w:rPr>
        <w:t>1 AY</w:t>
      </w:r>
      <w:r>
        <w:rPr>
          <w:rFonts w:ascii="Dosis" w:eastAsia="Dosis" w:hAnsi="Dosis" w:cs="Dosis"/>
          <w:color w:val="000000"/>
        </w:rPr>
        <w:t xml:space="preserve"> geçtikten sonra yenileme talebinde bulunulursa, yeniden harç alınır, </w:t>
      </w:r>
    </w:p>
    <w:p w:rsidR="000B60D3" w:rsidRPr="00A462F8" w:rsidRDefault="00405E23">
      <w:pPr>
        <w:numPr>
          <w:ilvl w:val="0"/>
          <w:numId w:val="7"/>
        </w:numPr>
        <w:spacing w:after="0" w:line="377" w:lineRule="auto"/>
        <w:jc w:val="both"/>
      </w:pPr>
      <w:r>
        <w:rPr>
          <w:rFonts w:ascii="Dosis" w:eastAsia="Dosis" w:hAnsi="Dosis" w:cs="Dosis"/>
          <w:color w:val="000000"/>
        </w:rPr>
        <w:t xml:space="preserve">Hüküm, Zorunlu nedenlerle sadece hüküm sonucunun tefhim edildiği hâllerde, gerekçeli kararın tefhim tarihinden başlayarak 1 AY içinde yazılması gerekir.  </w:t>
      </w:r>
    </w:p>
    <w:p w:rsidR="00A462F8" w:rsidRDefault="00A462F8" w:rsidP="00A462F8">
      <w:pPr>
        <w:spacing w:after="0" w:line="377" w:lineRule="auto"/>
        <w:jc w:val="both"/>
        <w:rPr>
          <w:rFonts w:ascii="Dosis" w:eastAsia="Dosis" w:hAnsi="Dosis" w:cs="Dosis"/>
          <w:color w:val="000000"/>
        </w:rPr>
      </w:pPr>
    </w:p>
    <w:p w:rsidR="00A462F8" w:rsidRPr="00A462F8" w:rsidRDefault="00A462F8" w:rsidP="00A462F8">
      <w:pPr>
        <w:spacing w:before="120" w:after="120" w:line="377" w:lineRule="auto"/>
        <w:jc w:val="right"/>
        <w:rPr>
          <w:b/>
        </w:rPr>
      </w:pPr>
      <w:r w:rsidRPr="00A462F8">
        <w:rPr>
          <w:rFonts w:ascii="Dosis" w:eastAsia="Dosis" w:hAnsi="Dosis" w:cs="Dosis"/>
          <w:b/>
          <w:color w:val="000000"/>
        </w:rPr>
        <w:lastRenderedPageBreak/>
        <w:t xml:space="preserve">SAYFA 7 </w:t>
      </w:r>
    </w:p>
    <w:p w:rsidR="000B60D3" w:rsidRDefault="00405E23">
      <w:pPr>
        <w:numPr>
          <w:ilvl w:val="0"/>
          <w:numId w:val="7"/>
        </w:numPr>
        <w:spacing w:after="0" w:line="377" w:lineRule="auto"/>
        <w:jc w:val="both"/>
      </w:pPr>
      <w:r>
        <w:rPr>
          <w:rFonts w:ascii="Dosis" w:eastAsia="Dosis" w:hAnsi="Dosis" w:cs="Dosis"/>
          <w:color w:val="000000"/>
        </w:rPr>
        <w:t xml:space="preserve">Taraflardan her biri, nihaî kararın tebliğinden itibaren </w:t>
      </w:r>
      <w:r>
        <w:rPr>
          <w:rFonts w:ascii="Dosis Bold" w:eastAsia="Dosis Bold" w:hAnsi="Dosis Bold" w:cs="Dosis Bold"/>
          <w:b/>
          <w:bCs/>
          <w:color w:val="000000"/>
        </w:rPr>
        <w:t>1 AY</w:t>
      </w:r>
      <w:r>
        <w:rPr>
          <w:rFonts w:ascii="Dosis" w:eastAsia="Dosis" w:hAnsi="Dosis" w:cs="Dosis"/>
          <w:color w:val="000000"/>
        </w:rPr>
        <w:t xml:space="preserve"> içinde, yargılamada ileri sürülmesine veya kendiliğinden hükme geçirilmesi gerekli olmasına rağmen hakkında tamamen veya kısmen karar verilmeyen hususlarda, ek karar verilmesini isteyebilir. </w:t>
      </w:r>
    </w:p>
    <w:p w:rsidR="000B60D3" w:rsidRDefault="00405E23">
      <w:pPr>
        <w:numPr>
          <w:ilvl w:val="0"/>
          <w:numId w:val="7"/>
        </w:numPr>
        <w:spacing w:after="0" w:line="377" w:lineRule="auto"/>
        <w:jc w:val="both"/>
      </w:pPr>
      <w:r>
        <w:rPr>
          <w:rFonts w:ascii="Dosis" w:eastAsia="Dosis" w:hAnsi="Dosis" w:cs="Dosis"/>
          <w:color w:val="000000"/>
        </w:rPr>
        <w:t xml:space="preserve">Mahkeme, tarafların dinlenmesi, delillerin incelenmesi ve tahkikat işlemlerinin yapılmasını yukarıdaki fıkrada belirtilen duruşma hariç, iki duruşmada tamamlar. Duruşmalar arasındaki süre </w:t>
      </w:r>
      <w:r>
        <w:rPr>
          <w:rFonts w:ascii="Dosis Bold" w:eastAsia="Dosis Bold" w:hAnsi="Dosis Bold" w:cs="Dosis Bold"/>
          <w:b/>
          <w:bCs/>
          <w:color w:val="000000"/>
        </w:rPr>
        <w:t>1 AYDAN</w:t>
      </w:r>
      <w:r>
        <w:rPr>
          <w:rFonts w:ascii="Dosis" w:eastAsia="Dosis" w:hAnsi="Dosis" w:cs="Dosis"/>
          <w:color w:val="000000"/>
        </w:rPr>
        <w:t xml:space="preserve"> daha uzun olamaz. </w:t>
      </w:r>
    </w:p>
    <w:p w:rsidR="000B60D3" w:rsidRDefault="00405E23">
      <w:pPr>
        <w:numPr>
          <w:ilvl w:val="0"/>
          <w:numId w:val="8"/>
        </w:numPr>
        <w:spacing w:after="0" w:line="377" w:lineRule="auto"/>
        <w:jc w:val="both"/>
      </w:pPr>
      <w:r>
        <w:rPr>
          <w:rFonts w:ascii="Dosis" w:eastAsia="Dosis" w:hAnsi="Dosis" w:cs="Dosis"/>
          <w:color w:val="000000"/>
        </w:rPr>
        <w:t xml:space="preserve">Duruşmalar arasındaki süre </w:t>
      </w:r>
      <w:r>
        <w:rPr>
          <w:rFonts w:ascii="Dosis Bold" w:eastAsia="Dosis Bold" w:hAnsi="Dosis Bold" w:cs="Dosis Bold"/>
          <w:b/>
          <w:bCs/>
          <w:color w:val="000000"/>
        </w:rPr>
        <w:t>1 AYDAN</w:t>
      </w:r>
      <w:r>
        <w:rPr>
          <w:rFonts w:ascii="Dosis" w:eastAsia="Dosis" w:hAnsi="Dosis" w:cs="Dosis"/>
          <w:color w:val="000000"/>
        </w:rPr>
        <w:t xml:space="preserve"> daha uzun olamaz. İşin niteliği gereği bilirkişi incelemesinin uzaması, istinabe yoluyla tahkikat işlemlerinin yürütülmesi gibi zorunlu hâllerde, hâkim gerekçesini belirterek 1 AYDAN sonrası için de duruşma günü belirleyebilir </w:t>
      </w:r>
    </w:p>
    <w:p w:rsidR="000B60D3" w:rsidRDefault="00405E23">
      <w:pPr>
        <w:numPr>
          <w:ilvl w:val="0"/>
          <w:numId w:val="8"/>
        </w:numPr>
        <w:spacing w:after="0" w:line="377" w:lineRule="auto"/>
        <w:jc w:val="both"/>
      </w:pPr>
      <w:r>
        <w:rPr>
          <w:rFonts w:ascii="Dosis" w:eastAsia="Dosis" w:hAnsi="Dosis" w:cs="Dosis"/>
          <w:color w:val="000000"/>
        </w:rPr>
        <w:t xml:space="preserve">Basit yargılama usulünde, Kararın tefhimi, mahkemece hükme ilişkin tüm hususların gerekçesi ile birlikte açıklanması ile gerçekleşir. Ancak zorunlu hâllerde, hâkim bu durumun sebebini de tutanağa geçirmek suretiyle, sadece hüküm özetini tutanağa yazdırarak kararı tefhim edebilir. Bu durumda gerekçeli kararın en geç </w:t>
      </w:r>
      <w:r>
        <w:rPr>
          <w:rFonts w:ascii="Dosis Bold" w:eastAsia="Dosis Bold" w:hAnsi="Dosis Bold" w:cs="Dosis Bold"/>
          <w:b/>
          <w:bCs/>
          <w:color w:val="000000"/>
        </w:rPr>
        <w:t xml:space="preserve">1 AY </w:t>
      </w:r>
      <w:r>
        <w:rPr>
          <w:rFonts w:ascii="Dosis" w:eastAsia="Dosis" w:hAnsi="Dosis" w:cs="Dosis"/>
          <w:color w:val="000000"/>
        </w:rPr>
        <w:t xml:space="preserve">içinde yazılarak tebliğe çıkartılması gerekir. </w:t>
      </w:r>
    </w:p>
    <w:p w:rsidR="000B60D3" w:rsidRDefault="00405E23">
      <w:pPr>
        <w:numPr>
          <w:ilvl w:val="0"/>
          <w:numId w:val="8"/>
        </w:numPr>
        <w:spacing w:after="0" w:line="377" w:lineRule="auto"/>
        <w:jc w:val="both"/>
      </w:pPr>
      <w:r>
        <w:rPr>
          <w:rFonts w:ascii="Dosis" w:eastAsia="Dosis" w:hAnsi="Dosis" w:cs="Dosis"/>
          <w:color w:val="000000"/>
        </w:rPr>
        <w:t xml:space="preserve">Temyiz, Duruşma günü kararı verilemeyen işlerin en geç </w:t>
      </w:r>
      <w:r>
        <w:rPr>
          <w:rFonts w:ascii="Dosis Bold" w:eastAsia="Dosis Bold" w:hAnsi="Dosis Bold" w:cs="Dosis Bold"/>
          <w:b/>
          <w:bCs/>
          <w:color w:val="000000"/>
        </w:rPr>
        <w:t>1 AY</w:t>
      </w:r>
      <w:r>
        <w:rPr>
          <w:rFonts w:ascii="Dosis" w:eastAsia="Dosis" w:hAnsi="Dosis" w:cs="Dosis"/>
          <w:color w:val="000000"/>
        </w:rPr>
        <w:t xml:space="preserve"> içinde karara bağlanması zorunludur. </w:t>
      </w:r>
    </w:p>
    <w:p w:rsidR="000B60D3" w:rsidRDefault="00405E23">
      <w:pPr>
        <w:numPr>
          <w:ilvl w:val="0"/>
          <w:numId w:val="8"/>
        </w:numPr>
        <w:spacing w:after="0" w:line="377" w:lineRule="auto"/>
        <w:jc w:val="both"/>
      </w:pPr>
      <w:r>
        <w:rPr>
          <w:rFonts w:ascii="Dosis" w:eastAsia="Dosis" w:hAnsi="Dosis" w:cs="Dosis"/>
          <w:color w:val="000000"/>
        </w:rPr>
        <w:t xml:space="preserve">İhtiyati tedbir kararı, Asıl davaya ilişkin hükmün kesinleşmesinden veya ihtiyati tedbir kararının kalkmasından itibaren </w:t>
      </w:r>
      <w:r>
        <w:rPr>
          <w:rFonts w:ascii="Dosis Bold" w:eastAsia="Dosis Bold" w:hAnsi="Dosis Bold" w:cs="Dosis Bold"/>
          <w:b/>
          <w:bCs/>
          <w:color w:val="000000"/>
        </w:rPr>
        <w:t xml:space="preserve">1 AY </w:t>
      </w:r>
      <w:r>
        <w:rPr>
          <w:rFonts w:ascii="Dosis" w:eastAsia="Dosis" w:hAnsi="Dosis" w:cs="Dosis"/>
          <w:color w:val="000000"/>
        </w:rPr>
        <w:t xml:space="preserve">içinde tazminat davasının açılmaması üzerine teminat iade edilir. </w:t>
      </w:r>
    </w:p>
    <w:p w:rsidR="000B60D3" w:rsidRDefault="00405E23">
      <w:pPr>
        <w:numPr>
          <w:ilvl w:val="0"/>
          <w:numId w:val="8"/>
        </w:numPr>
        <w:spacing w:after="0" w:line="377" w:lineRule="auto"/>
        <w:jc w:val="both"/>
      </w:pPr>
      <w:r>
        <w:rPr>
          <w:rFonts w:ascii="Dosis" w:eastAsia="Dosis" w:hAnsi="Dosis" w:cs="Dosis"/>
          <w:color w:val="000000"/>
        </w:rPr>
        <w:t xml:space="preserve">Hakemlerin seçimi, Üç hakem seçilecek ise taraflardan her biri bir hakem seçer; bu şekilde seçilen iki hakem üçüncü hakemi belirler. Taraflardan biri, diğer tarafın bu yoldaki talebinin kendisine ulaşmasından itibaren </w:t>
      </w:r>
      <w:r>
        <w:rPr>
          <w:rFonts w:ascii="Dosis Bold" w:eastAsia="Dosis Bold" w:hAnsi="Dosis Bold" w:cs="Dosis Bold"/>
          <w:b/>
          <w:bCs/>
          <w:color w:val="000000"/>
        </w:rPr>
        <w:t xml:space="preserve">1 AY </w:t>
      </w:r>
      <w:r>
        <w:rPr>
          <w:rFonts w:ascii="Dosis" w:eastAsia="Dosis" w:hAnsi="Dosis" w:cs="Dosis"/>
          <w:color w:val="000000"/>
        </w:rPr>
        <w:t xml:space="preserve">içinde hakemini seçmezse veya tarafların seçtiği iki hakem seçilmelerinden sonraki </w:t>
      </w:r>
      <w:r>
        <w:rPr>
          <w:rFonts w:ascii="Dosis Bold" w:eastAsia="Dosis Bold" w:hAnsi="Dosis Bold" w:cs="Dosis Bold"/>
          <w:b/>
          <w:bCs/>
          <w:color w:val="000000"/>
        </w:rPr>
        <w:t>1 AY</w:t>
      </w:r>
      <w:r>
        <w:rPr>
          <w:rFonts w:ascii="Dosis" w:eastAsia="Dosis" w:hAnsi="Dosis" w:cs="Dosis"/>
          <w:color w:val="000000"/>
        </w:rPr>
        <w:t xml:space="preserve"> içinde üçüncü hakemi belirlemezlerse, taraflardan birinin talebi üzerine mahkeme tarafından hakem seçimi yapılır. </w:t>
      </w:r>
    </w:p>
    <w:p w:rsidR="000B60D3" w:rsidRDefault="00405E23">
      <w:pPr>
        <w:numPr>
          <w:ilvl w:val="0"/>
          <w:numId w:val="8"/>
        </w:numPr>
        <w:spacing w:after="0" w:line="377" w:lineRule="auto"/>
        <w:jc w:val="both"/>
      </w:pPr>
      <w:r>
        <w:rPr>
          <w:rFonts w:ascii="Dosis" w:eastAsia="Dosis" w:hAnsi="Dosis" w:cs="Dosis"/>
          <w:color w:val="000000"/>
        </w:rPr>
        <w:t xml:space="preserve">Hakem kurulundan bir veya birden çok hakemin reddini isteyen taraf, ret talebini ve gerekçesini hakem kuruluna bildirir. Ret talebinin kabul edilmediğini öğrenen taraf, bu tarihten itibaren karara karşı </w:t>
      </w:r>
      <w:r>
        <w:rPr>
          <w:rFonts w:ascii="Dosis Bold" w:eastAsia="Dosis Bold" w:hAnsi="Dosis Bold" w:cs="Dosis Bold"/>
          <w:b/>
          <w:bCs/>
          <w:color w:val="000000"/>
        </w:rPr>
        <w:t>1 AY</w:t>
      </w:r>
      <w:r>
        <w:rPr>
          <w:rFonts w:ascii="Dosis" w:eastAsia="Dosis" w:hAnsi="Dosis" w:cs="Dosis"/>
          <w:color w:val="000000"/>
        </w:rPr>
        <w:t xml:space="preserve"> içinde mahkemeye başvurarak bu kararın kaldırılmasını ve hakem veya hakemlerin reddine ilişkin talep hakkında karar verilmesini isteyebilir. </w:t>
      </w:r>
    </w:p>
    <w:p w:rsidR="000B60D3" w:rsidRDefault="00405E23">
      <w:pPr>
        <w:numPr>
          <w:ilvl w:val="0"/>
          <w:numId w:val="8"/>
        </w:numPr>
        <w:spacing w:after="0" w:line="377" w:lineRule="auto"/>
        <w:jc w:val="both"/>
      </w:pPr>
      <w:r>
        <w:rPr>
          <w:rFonts w:ascii="Dosis" w:eastAsia="Dosis" w:hAnsi="Dosis" w:cs="Dosis"/>
          <w:color w:val="000000"/>
        </w:rPr>
        <w:t xml:space="preserve">Hakem kararının tavzihi, düzeltilmesi ve tamamlanması, Karşı tarafın görüşünü alan hakem veya hakem kurulu, bu talebi haklı bulursa, talep tarihinden itibaren </w:t>
      </w:r>
      <w:r>
        <w:rPr>
          <w:rFonts w:ascii="Dosis Bold" w:eastAsia="Dosis Bold" w:hAnsi="Dosis Bold" w:cs="Dosis Bold"/>
          <w:b/>
          <w:bCs/>
          <w:color w:val="000000"/>
        </w:rPr>
        <w:t>1 AY</w:t>
      </w:r>
      <w:r>
        <w:rPr>
          <w:rFonts w:ascii="Dosis" w:eastAsia="Dosis" w:hAnsi="Dosis" w:cs="Dosis"/>
          <w:color w:val="000000"/>
        </w:rPr>
        <w:t xml:space="preserve"> içinde kararındaki maddi hatayı düzeltir veya kararın tavzihini yapar. İcap ederse, bu süre hakem veya hakem kurulunca uzatılabilir. </w:t>
      </w:r>
    </w:p>
    <w:p w:rsidR="000B60D3" w:rsidRPr="00A462F8" w:rsidRDefault="00405E23">
      <w:pPr>
        <w:numPr>
          <w:ilvl w:val="0"/>
          <w:numId w:val="8"/>
        </w:numPr>
        <w:spacing w:after="0" w:line="377" w:lineRule="auto"/>
        <w:jc w:val="both"/>
      </w:pPr>
      <w:r>
        <w:rPr>
          <w:rFonts w:ascii="Dosis" w:eastAsia="Dosis" w:hAnsi="Dosis" w:cs="Dosis"/>
          <w:color w:val="000000"/>
        </w:rPr>
        <w:t xml:space="preserve">Taraflardan her biri, hakem kararının kendilerine bildirilmesinden itibaren </w:t>
      </w:r>
      <w:r>
        <w:rPr>
          <w:rFonts w:ascii="Dosis Bold" w:eastAsia="Dosis Bold" w:hAnsi="Dosis Bold" w:cs="Dosis Bold"/>
          <w:b/>
          <w:bCs/>
          <w:color w:val="000000"/>
        </w:rPr>
        <w:t>1 AY</w:t>
      </w:r>
      <w:r>
        <w:rPr>
          <w:rFonts w:ascii="Dosis" w:eastAsia="Dosis" w:hAnsi="Dosis" w:cs="Dosis"/>
          <w:color w:val="000000"/>
        </w:rPr>
        <w:t xml:space="preserve"> içinde, karşı tarafa da bilgi vermek kaydıyla, yargılama sırasında ileri sürülmüş olmasına rağmen karara bağlanmamış konularda tamamlayıcı hakem </w:t>
      </w:r>
      <w:r w:rsidR="00A462F8">
        <w:rPr>
          <w:rFonts w:ascii="Dosis" w:eastAsia="Dosis" w:hAnsi="Dosis" w:cs="Dosis"/>
          <w:color w:val="000000"/>
        </w:rPr>
        <w:t>kararı verilmesini isteyebilir.</w:t>
      </w:r>
    </w:p>
    <w:p w:rsidR="00A462F8" w:rsidRPr="00A462F8" w:rsidRDefault="00A462F8" w:rsidP="00A462F8">
      <w:pPr>
        <w:pStyle w:val="ListeParagraf"/>
        <w:spacing w:before="120" w:after="120" w:line="377" w:lineRule="auto"/>
        <w:ind w:left="400"/>
        <w:jc w:val="right"/>
        <w:rPr>
          <w:b/>
        </w:rPr>
      </w:pPr>
      <w:r w:rsidRPr="00A462F8">
        <w:rPr>
          <w:rFonts w:ascii="Dosis" w:eastAsia="Dosis" w:hAnsi="Dosis" w:cs="Dosis"/>
          <w:b/>
          <w:color w:val="000000"/>
        </w:rPr>
        <w:lastRenderedPageBreak/>
        <w:t>SAYFA 8</w:t>
      </w:r>
    </w:p>
    <w:p w:rsidR="000B60D3" w:rsidRDefault="00405E23">
      <w:pPr>
        <w:numPr>
          <w:ilvl w:val="0"/>
          <w:numId w:val="8"/>
        </w:numPr>
        <w:spacing w:after="0" w:line="377" w:lineRule="auto"/>
        <w:jc w:val="both"/>
      </w:pPr>
      <w:r>
        <w:rPr>
          <w:rFonts w:ascii="Dosis" w:eastAsia="Dosis" w:hAnsi="Dosis" w:cs="Dosis"/>
          <w:color w:val="000000"/>
        </w:rPr>
        <w:t xml:space="preserve">Hakem kararına karşı yalnızca iptal davası açılabilir. iptal davası, </w:t>
      </w:r>
      <w:r>
        <w:rPr>
          <w:rFonts w:ascii="Dosis Bold" w:eastAsia="Dosis Bold" w:hAnsi="Dosis Bold" w:cs="Dosis Bold"/>
          <w:b/>
          <w:bCs/>
          <w:color w:val="000000"/>
        </w:rPr>
        <w:t xml:space="preserve">1 AY </w:t>
      </w:r>
      <w:r>
        <w:rPr>
          <w:rFonts w:ascii="Dosis" w:eastAsia="Dosis" w:hAnsi="Dosis" w:cs="Dosis"/>
          <w:color w:val="000000"/>
        </w:rPr>
        <w:t xml:space="preserve"> içinde açılabilir. </w:t>
      </w:r>
    </w:p>
    <w:p w:rsidR="000B60D3" w:rsidRDefault="00405E23">
      <w:pPr>
        <w:numPr>
          <w:ilvl w:val="0"/>
          <w:numId w:val="8"/>
        </w:numPr>
        <w:spacing w:after="0" w:line="377" w:lineRule="auto"/>
        <w:jc w:val="both"/>
      </w:pPr>
      <w:r>
        <w:rPr>
          <w:rFonts w:ascii="Dosis" w:eastAsia="Dosis" w:hAnsi="Dosis" w:cs="Dosis"/>
          <w:color w:val="000000"/>
        </w:rPr>
        <w:t xml:space="preserve">Hakem karararı avans yatırılması, Avans, hakem veya hakem kurulu kararında öngörülen süre içinde ödenmemişse hakem veya hakem kurulu yargılamayı durdurabilir. Yargılamanın durdurulduğunun taraflara bildirilmesinden itibaren </w:t>
      </w:r>
      <w:r>
        <w:rPr>
          <w:rFonts w:ascii="Dosis Bold" w:eastAsia="Dosis Bold" w:hAnsi="Dosis Bold" w:cs="Dosis Bold"/>
          <w:b/>
          <w:bCs/>
          <w:color w:val="000000"/>
        </w:rPr>
        <w:t>1 AY</w:t>
      </w:r>
      <w:r>
        <w:rPr>
          <w:rFonts w:ascii="Dosis" w:eastAsia="Dosis" w:hAnsi="Dosis" w:cs="Dosis"/>
          <w:color w:val="000000"/>
        </w:rPr>
        <w:t xml:space="preserve"> içinde avans ödenirse yargılamaya devam olunur. </w:t>
      </w:r>
    </w:p>
    <w:p w:rsidR="000B60D3" w:rsidRDefault="00405E23">
      <w:pPr>
        <w:numPr>
          <w:ilvl w:val="0"/>
          <w:numId w:val="8"/>
        </w:numPr>
        <w:spacing w:after="0" w:line="377" w:lineRule="auto"/>
        <w:jc w:val="both"/>
      </w:pPr>
      <w:r>
        <w:rPr>
          <w:rFonts w:ascii="Dosis" w:eastAsia="Dosis" w:hAnsi="Dosis" w:cs="Dosis"/>
          <w:color w:val="000000"/>
        </w:rPr>
        <w:t xml:space="preserve">Bilirkişi raporunun hazırlanması için verilecek süre </w:t>
      </w:r>
      <w:r>
        <w:rPr>
          <w:rFonts w:ascii="Dosis Bold" w:eastAsia="Dosis Bold" w:hAnsi="Dosis Bold" w:cs="Dosis Bold"/>
          <w:b/>
          <w:bCs/>
          <w:color w:val="000000"/>
        </w:rPr>
        <w:t>3 AYI</w:t>
      </w:r>
      <w:r>
        <w:rPr>
          <w:rFonts w:ascii="Dosis" w:eastAsia="Dosis" w:hAnsi="Dosis" w:cs="Dosis"/>
          <w:color w:val="000000"/>
        </w:rPr>
        <w:t xml:space="preserve"> geçemez. Bilirkişinin talebi üzerine, kendisini görevlendiren mahkeme gerekçesini göstererek, süreyi </w:t>
      </w:r>
      <w:r>
        <w:rPr>
          <w:rFonts w:ascii="Dosis Bold" w:eastAsia="Dosis Bold" w:hAnsi="Dosis Bold" w:cs="Dosis Bold"/>
          <w:b/>
          <w:bCs/>
          <w:color w:val="000000"/>
        </w:rPr>
        <w:t>3 AYI</w:t>
      </w:r>
      <w:r>
        <w:rPr>
          <w:rFonts w:ascii="Dosis" w:eastAsia="Dosis" w:hAnsi="Dosis" w:cs="Dosis"/>
          <w:color w:val="000000"/>
        </w:rPr>
        <w:t xml:space="preserve"> geçmemek üzere uzatabilir. (Ek cümle: 28/2/2018-7101/56 md.) Ancak basit yargılama usulüne tabi dava ve işlerde bu süreler </w:t>
      </w:r>
      <w:r>
        <w:rPr>
          <w:rFonts w:ascii="Dosis Bold" w:eastAsia="Dosis Bold" w:hAnsi="Dosis Bold" w:cs="Dosis Bold"/>
          <w:b/>
          <w:bCs/>
          <w:color w:val="000000"/>
        </w:rPr>
        <w:t>2 AY</w:t>
      </w:r>
      <w:r>
        <w:rPr>
          <w:rFonts w:ascii="Dosis" w:eastAsia="Dosis" w:hAnsi="Dosis" w:cs="Dosis"/>
          <w:color w:val="000000"/>
        </w:rPr>
        <w:t xml:space="preserve"> olarak uygulanır. </w:t>
      </w:r>
    </w:p>
    <w:p w:rsidR="000B60D3" w:rsidRDefault="00405E23">
      <w:pPr>
        <w:numPr>
          <w:ilvl w:val="0"/>
          <w:numId w:val="8"/>
        </w:numPr>
        <w:spacing w:after="0" w:line="377" w:lineRule="auto"/>
        <w:jc w:val="both"/>
      </w:pPr>
      <w:r>
        <w:rPr>
          <w:rFonts w:ascii="Dosis" w:eastAsia="Dosis" w:hAnsi="Dosis" w:cs="Dosis"/>
          <w:color w:val="000000"/>
        </w:rPr>
        <w:t xml:space="preserve">Dosyası işlemden kaldırılmış olan dava, işlemden kaldırıldığı tarihten başlayarak </w:t>
      </w:r>
      <w:r>
        <w:rPr>
          <w:rFonts w:ascii="Dosis Bold" w:eastAsia="Dosis Bold" w:hAnsi="Dosis Bold" w:cs="Dosis Bold"/>
          <w:b/>
          <w:bCs/>
          <w:color w:val="000000"/>
        </w:rPr>
        <w:t>3 AY</w:t>
      </w:r>
      <w:r>
        <w:rPr>
          <w:rFonts w:ascii="Dosis" w:eastAsia="Dosis" w:hAnsi="Dosis" w:cs="Dosis"/>
          <w:color w:val="000000"/>
        </w:rPr>
        <w:t xml:space="preserve"> içinde taraflardan birinin dilekçe ile başvurusu üzerine yenilenebilir. </w:t>
      </w:r>
    </w:p>
    <w:p w:rsidR="000B60D3" w:rsidRDefault="00405E23">
      <w:pPr>
        <w:numPr>
          <w:ilvl w:val="0"/>
          <w:numId w:val="9"/>
        </w:numPr>
        <w:spacing w:after="0" w:line="377" w:lineRule="auto"/>
        <w:jc w:val="both"/>
      </w:pPr>
      <w:r>
        <w:rPr>
          <w:rFonts w:ascii="Dosis" w:eastAsia="Dosis" w:hAnsi="Dosis" w:cs="Dosis"/>
          <w:color w:val="000000"/>
        </w:rPr>
        <w:t xml:space="preserve">İşlemden kaldırıldığı tarihten başlayarak </w:t>
      </w:r>
      <w:r>
        <w:rPr>
          <w:rFonts w:ascii="Dosis Bold" w:eastAsia="Dosis Bold" w:hAnsi="Dosis Bold" w:cs="Dosis Bold"/>
          <w:b/>
          <w:bCs/>
          <w:color w:val="000000"/>
        </w:rPr>
        <w:t>3 AY</w:t>
      </w:r>
      <w:r>
        <w:rPr>
          <w:rFonts w:ascii="Dosis" w:eastAsia="Dosis" w:hAnsi="Dosis" w:cs="Dosis"/>
          <w:color w:val="000000"/>
        </w:rPr>
        <w:t xml:space="preserve"> içinde yenilenmeyen davalar, sürenin dolduğu gün itibarıyla açılmamış sayılır ve mahkemece kendiliğinden karar verilerek kayıt kapatılır. </w:t>
      </w:r>
    </w:p>
    <w:p w:rsidR="000B60D3" w:rsidRDefault="00405E23">
      <w:pPr>
        <w:spacing w:before="120" w:after="120" w:line="377" w:lineRule="auto"/>
        <w:jc w:val="center"/>
      </w:pPr>
      <w:r>
        <w:rPr>
          <w:rFonts w:ascii="Dosis Bold" w:eastAsia="Dosis Bold" w:hAnsi="Dosis Bold" w:cs="Dosis Bold"/>
          <w:b/>
          <w:bCs/>
          <w:color w:val="FF3131"/>
          <w:sz w:val="32"/>
          <w:szCs w:val="32"/>
        </w:rPr>
        <w:t xml:space="preserve">HUKUK MUHAKEMELERİ KANUNU YILLIK SÜRELER </w:t>
      </w:r>
    </w:p>
    <w:p w:rsidR="000B60D3" w:rsidRDefault="00405E23">
      <w:pPr>
        <w:numPr>
          <w:ilvl w:val="0"/>
          <w:numId w:val="10"/>
        </w:numPr>
        <w:spacing w:after="0" w:line="377" w:lineRule="auto"/>
        <w:jc w:val="both"/>
      </w:pPr>
      <w:r>
        <w:rPr>
          <w:rFonts w:ascii="Dosis" w:eastAsia="Dosis" w:hAnsi="Dosis" w:cs="Dosis"/>
          <w:color w:val="000000"/>
        </w:rPr>
        <w:t xml:space="preserve">Devlet, ödediği tazminat nedeniyle, sorumlu hâkime ödeme tarihinden itibaren </w:t>
      </w:r>
      <w:r>
        <w:rPr>
          <w:rFonts w:ascii="Dosis Bold" w:eastAsia="Dosis Bold" w:hAnsi="Dosis Bold" w:cs="Dosis Bold"/>
          <w:b/>
          <w:bCs/>
          <w:color w:val="000000"/>
        </w:rPr>
        <w:t>1 YIL</w:t>
      </w:r>
      <w:r>
        <w:rPr>
          <w:rFonts w:ascii="Dosis" w:eastAsia="Dosis" w:hAnsi="Dosis" w:cs="Dosis"/>
          <w:color w:val="000000"/>
        </w:rPr>
        <w:t xml:space="preserve"> içinde rücu eder. </w:t>
      </w:r>
    </w:p>
    <w:p w:rsidR="000B60D3" w:rsidRDefault="00405E23">
      <w:pPr>
        <w:numPr>
          <w:ilvl w:val="0"/>
          <w:numId w:val="10"/>
        </w:numPr>
        <w:spacing w:after="0" w:line="377" w:lineRule="auto"/>
        <w:jc w:val="both"/>
      </w:pPr>
      <w:r>
        <w:rPr>
          <w:rFonts w:ascii="Dosis" w:eastAsia="Dosis" w:hAnsi="Dosis" w:cs="Dosis"/>
          <w:color w:val="000000"/>
        </w:rPr>
        <w:t xml:space="preserve">Devlet, ödediği tazminat nedeniyle, sorumlu bilirkişiye, ödeme tarihinden itibaren </w:t>
      </w:r>
      <w:r>
        <w:rPr>
          <w:rFonts w:ascii="Dosis Bold" w:eastAsia="Dosis Bold" w:hAnsi="Dosis Bold" w:cs="Dosis Bold"/>
          <w:b/>
          <w:bCs/>
          <w:color w:val="000000"/>
        </w:rPr>
        <w:t xml:space="preserve">1 YIL </w:t>
      </w:r>
      <w:r>
        <w:rPr>
          <w:rFonts w:ascii="Dosis" w:eastAsia="Dosis" w:hAnsi="Dosis" w:cs="Dosis"/>
          <w:color w:val="000000"/>
        </w:rPr>
        <w:t xml:space="preserve">içinde rücu eder. </w:t>
      </w:r>
    </w:p>
    <w:p w:rsidR="000B60D3" w:rsidRDefault="00405E23">
      <w:pPr>
        <w:numPr>
          <w:ilvl w:val="0"/>
          <w:numId w:val="10"/>
        </w:numPr>
        <w:spacing w:after="0" w:line="377" w:lineRule="auto"/>
        <w:jc w:val="both"/>
      </w:pPr>
      <w:r>
        <w:rPr>
          <w:rFonts w:ascii="Dosis" w:eastAsia="Dosis" w:hAnsi="Dosis" w:cs="Dosis"/>
          <w:color w:val="000000"/>
        </w:rPr>
        <w:t xml:space="preserve">Adli yardımdan yararlanan kişinin haksız çıkması hâlinde, uygun görülürse yargılama giderlerinin en çok </w:t>
      </w:r>
      <w:r>
        <w:rPr>
          <w:rFonts w:ascii="Dosis Bold" w:eastAsia="Dosis Bold" w:hAnsi="Dosis Bold" w:cs="Dosis Bold"/>
          <w:b/>
          <w:bCs/>
          <w:color w:val="000000"/>
        </w:rPr>
        <w:t>1 YIL</w:t>
      </w:r>
      <w:r>
        <w:rPr>
          <w:rFonts w:ascii="Dosis" w:eastAsia="Dosis" w:hAnsi="Dosis" w:cs="Dosis"/>
          <w:color w:val="000000"/>
        </w:rPr>
        <w:t xml:space="preserve"> içinde aylık eşit taksitler hâlinde ödenmesine karar verilebilir. </w:t>
      </w:r>
    </w:p>
    <w:p w:rsidR="000B60D3" w:rsidRDefault="00405E23">
      <w:pPr>
        <w:numPr>
          <w:ilvl w:val="0"/>
          <w:numId w:val="10"/>
        </w:numPr>
        <w:spacing w:after="0" w:line="377" w:lineRule="auto"/>
        <w:jc w:val="both"/>
      </w:pPr>
      <w:r>
        <w:rPr>
          <w:rFonts w:ascii="Dosis" w:eastAsia="Dosis" w:hAnsi="Dosis" w:cs="Dosis"/>
          <w:color w:val="000000"/>
        </w:rPr>
        <w:t xml:space="preserve">Tazminat davası açma hakkı, hükmün kesinleşmesinden veya ihtiyati tedbir kararının kalkmasından itibaren, </w:t>
      </w:r>
      <w:r>
        <w:rPr>
          <w:rFonts w:ascii="Dosis Bold" w:eastAsia="Dosis Bold" w:hAnsi="Dosis Bold" w:cs="Dosis Bold"/>
          <w:b/>
          <w:bCs/>
          <w:color w:val="000000"/>
        </w:rPr>
        <w:t xml:space="preserve">1 YIL </w:t>
      </w:r>
      <w:r>
        <w:rPr>
          <w:rFonts w:ascii="Dosis" w:eastAsia="Dosis" w:hAnsi="Dosis" w:cs="Dosis"/>
          <w:color w:val="000000"/>
        </w:rPr>
        <w:t xml:space="preserve">geçmesiyle zamanaşımına uğrar.  </w:t>
      </w:r>
    </w:p>
    <w:p w:rsidR="000B60D3" w:rsidRDefault="00405E23">
      <w:pPr>
        <w:numPr>
          <w:ilvl w:val="0"/>
          <w:numId w:val="10"/>
        </w:numPr>
        <w:spacing w:after="0" w:line="377" w:lineRule="auto"/>
        <w:jc w:val="both"/>
      </w:pPr>
      <w:r>
        <w:rPr>
          <w:rFonts w:ascii="Dosis" w:eastAsia="Dosis" w:hAnsi="Dosis" w:cs="Dosis"/>
          <w:color w:val="000000"/>
        </w:rPr>
        <w:t xml:space="preserve">Taraflar aksini kararlaştırmadıkça, bir hakemin görev yapacağı davalarda hakemin seçildiği, birden çok hakemin görev yapacağı davalarda ise hakem kurulunun ilk toplantı tutanağının düzenlendiği tarihten itibaren </w:t>
      </w:r>
      <w:r>
        <w:rPr>
          <w:rFonts w:ascii="Dosis Bold" w:eastAsia="Dosis Bold" w:hAnsi="Dosis Bold" w:cs="Dosis Bold"/>
          <w:b/>
          <w:bCs/>
          <w:color w:val="000000"/>
        </w:rPr>
        <w:t>1 YIL</w:t>
      </w:r>
      <w:r>
        <w:rPr>
          <w:rFonts w:ascii="Dosis" w:eastAsia="Dosis" w:hAnsi="Dosis" w:cs="Dosis"/>
          <w:color w:val="000000"/>
        </w:rPr>
        <w:t xml:space="preserve"> içinde, hakem veya hakem kurulunca esas hakkında karar verilir. </w:t>
      </w:r>
    </w:p>
    <w:p w:rsidR="000B60D3" w:rsidRDefault="00405E23">
      <w:pPr>
        <w:spacing w:before="120" w:after="120"/>
        <w:jc w:val="center"/>
      </w:pPr>
      <w:r>
        <w:rPr>
          <w:noProof/>
        </w:rPr>
        <w:drawing>
          <wp:inline distT="0" distB="0" distL="0" distR="0">
            <wp:extent cx="5734050" cy="198085"/>
            <wp:effectExtent l="0" t="0" r="0" b="0"/>
            <wp:docPr id="3" name="Drawing 2" descr="9949009a-1d45-4476-a02c-219701360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49009a-1d45-4476-a02c-219701360ffa.png"/>
                    <pic:cNvPicPr>
                      <a:picLocks noChangeAspect="1"/>
                    </pic:cNvPicPr>
                  </pic:nvPicPr>
                  <pic:blipFill>
                    <a:blip r:embed="rId6"/>
                    <a:stretch>
                      <a:fillRect/>
                    </a:stretch>
                  </pic:blipFill>
                  <pic:spPr>
                    <a:xfrm>
                      <a:off x="0" y="0"/>
                      <a:ext cx="5734050" cy="198085"/>
                    </a:xfrm>
                    <a:prstGeom prst="rect">
                      <a:avLst/>
                    </a:prstGeom>
                  </pic:spPr>
                </pic:pic>
              </a:graphicData>
            </a:graphic>
          </wp:inline>
        </w:drawing>
      </w:r>
    </w:p>
    <w:p w:rsidR="000B60D3" w:rsidRDefault="00405E23">
      <w:pPr>
        <w:spacing w:before="120" w:after="120"/>
        <w:jc w:val="center"/>
      </w:pPr>
      <w:r>
        <w:rPr>
          <w:noProof/>
        </w:rPr>
        <w:drawing>
          <wp:inline distT="0" distB="0" distL="0" distR="0">
            <wp:extent cx="1454819" cy="524259"/>
            <wp:effectExtent l="0" t="0" r="0" b="0"/>
            <wp:docPr id="4" name="Drawing 3" descr="a30104fcf851017bdbd31c8c98472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0104fcf851017bdbd31c8c984729b0.png"/>
                    <pic:cNvPicPr>
                      <a:picLocks noChangeAspect="1"/>
                    </pic:cNvPicPr>
                  </pic:nvPicPr>
                  <pic:blipFill>
                    <a:blip r:embed="rId7"/>
                    <a:stretch>
                      <a:fillRect/>
                    </a:stretch>
                  </pic:blipFill>
                  <pic:spPr>
                    <a:xfrm>
                      <a:off x="0" y="0"/>
                      <a:ext cx="1454819" cy="524259"/>
                    </a:xfrm>
                    <a:prstGeom prst="rect">
                      <a:avLst/>
                    </a:prstGeom>
                  </pic:spPr>
                </pic:pic>
              </a:graphicData>
            </a:graphic>
          </wp:inline>
        </w:drawing>
      </w:r>
    </w:p>
    <w:p w:rsidR="00A462F8" w:rsidRDefault="00405E23">
      <w:pPr>
        <w:spacing w:before="120" w:after="120" w:line="336" w:lineRule="auto"/>
        <w:jc w:val="both"/>
        <w:rPr>
          <w:rFonts w:ascii="Dosis Bold" w:eastAsia="Dosis Bold" w:hAnsi="Dosis Bold" w:cs="Dosis Bold"/>
          <w:b/>
          <w:bCs/>
          <w:color w:val="221F1F"/>
          <w:spacing w:val="-2"/>
        </w:rPr>
      </w:pPr>
      <w:r>
        <w:rPr>
          <w:rFonts w:ascii="Dosis Bold" w:eastAsia="Dosis Bold" w:hAnsi="Dosis Bold" w:cs="Dosis Bold"/>
          <w:b/>
          <w:bCs/>
          <w:color w:val="221F1F"/>
          <w:spacing w:val="-2"/>
        </w:rPr>
        <w:t>HUKUK MUHAKEMELERİ KANUNU Süreler,</w:t>
      </w:r>
      <w:r>
        <w:rPr>
          <w:rFonts w:ascii="Dosis" w:eastAsia="Dosis" w:hAnsi="Dosis" w:cs="Dosis"/>
          <w:color w:val="221F1F"/>
          <w:spacing w:val="-2"/>
        </w:rPr>
        <w:t xml:space="preserve"> Haftalık, aylık ve yıllık olarak şekilde</w:t>
      </w:r>
      <w:r>
        <w:rPr>
          <w:rFonts w:ascii="Dosis Bold" w:eastAsia="Dosis Bold" w:hAnsi="Dosis Bold" w:cs="Dosis Bold"/>
          <w:b/>
          <w:bCs/>
          <w:color w:val="221F1F"/>
          <w:spacing w:val="-2"/>
        </w:rPr>
        <w:t xml:space="preserve"> </w:t>
      </w:r>
      <w:r>
        <w:rPr>
          <w:rFonts w:ascii="Dosis" w:eastAsia="Dosis" w:hAnsi="Dosis" w:cs="Dosis"/>
          <w:color w:val="221F1F"/>
          <w:spacing w:val="-2"/>
        </w:rPr>
        <w:t xml:space="preserve"> düzenlenmiş olup;  herhangi bir ticari kaygı gütmeden faydalı olması temennisiyle hazırlanmıştır.  </w:t>
      </w:r>
      <w:r>
        <w:rPr>
          <w:rFonts w:ascii="Dosis Bold" w:eastAsia="Dosis Bold" w:hAnsi="Dosis Bold" w:cs="Dosis Bold"/>
          <w:b/>
          <w:bCs/>
          <w:color w:val="221F1F"/>
          <w:spacing w:val="-2"/>
        </w:rPr>
        <w:t xml:space="preserve">Daha fazla bilgi ve ders notları için sosyal medya hesaplarımızı takip edin.    </w:t>
      </w:r>
    </w:p>
    <w:p w:rsidR="000B60D3" w:rsidRPr="00A462F8" w:rsidRDefault="00405E23">
      <w:pPr>
        <w:spacing w:before="120" w:after="120" w:line="336" w:lineRule="auto"/>
        <w:jc w:val="both"/>
        <w:rPr>
          <w:rFonts w:ascii="Dosis" w:eastAsia="Dosis" w:hAnsi="Dosis" w:cs="Dosis"/>
          <w:color w:val="221F1F"/>
          <w:spacing w:val="-2"/>
        </w:rPr>
      </w:pPr>
      <w:r>
        <w:rPr>
          <w:rFonts w:ascii="Dosis Bold" w:eastAsia="Dosis Bold" w:hAnsi="Dosis Bold" w:cs="Dosis Bold"/>
          <w:b/>
          <w:bCs/>
          <w:color w:val="221F1F"/>
          <w:spacing w:val="-2"/>
        </w:rPr>
        <w:t xml:space="preserve"> Web Sitemiz</w:t>
      </w:r>
      <w:r>
        <w:rPr>
          <w:rFonts w:ascii="Dosis" w:eastAsia="Dosis" w:hAnsi="Dosis" w:cs="Dosis"/>
          <w:color w:val="221F1F"/>
          <w:spacing w:val="-2"/>
        </w:rPr>
        <w:t xml:space="preserve"> : https://icramuduru.com/         </w:t>
      </w:r>
      <w:r>
        <w:rPr>
          <w:rFonts w:ascii="Dosis Bold" w:eastAsia="Dosis Bold" w:hAnsi="Dosis Bold" w:cs="Dosis Bold"/>
          <w:b/>
          <w:bCs/>
          <w:color w:val="221F1F"/>
          <w:spacing w:val="-2"/>
        </w:rPr>
        <w:t xml:space="preserve"> İnstagram :</w:t>
      </w:r>
      <w:r>
        <w:rPr>
          <w:rFonts w:ascii="Dosis" w:eastAsia="Dosis" w:hAnsi="Dosis" w:cs="Dosis"/>
          <w:color w:val="221F1F"/>
          <w:spacing w:val="-2"/>
        </w:rPr>
        <w:t xml:space="preserve"> @icramudurucom </w:t>
      </w:r>
    </w:p>
    <w:sectPr w:rsidR="000B60D3" w:rsidRPr="00A462F8">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C8F7706D-CFE7-4FF9-B5FF-67D42828247F}"/>
    <w:embedBold r:id="rId2" w:fontKey="{C06DE1CC-A276-4027-823A-D9AF4E068D6E}"/>
  </w:font>
  <w:font w:name="DejaVu Serif Bold">
    <w:altName w:val="Rockwell Extra Bold"/>
    <w:charset w:val="00"/>
    <w:family w:val="auto"/>
    <w:pitch w:val="default"/>
  </w:font>
  <w:font w:name="Dosis Bold">
    <w:altName w:val="Times New Roman"/>
    <w:charset w:val="00"/>
    <w:family w:val="auto"/>
    <w:pitch w:val="default"/>
    <w:embedBold r:id="rId3" w:fontKey="{C5657D37-53D9-429E-B863-79CF054D8083}"/>
  </w:font>
  <w:font w:name="Dosis">
    <w:altName w:val="Times New Roman"/>
    <w:charset w:val="00"/>
    <w:family w:val="auto"/>
    <w:pitch w:val="default"/>
    <w:embedRegular r:id="rId4" w:fontKey="{DD05C02A-501A-495E-AD84-294D0B44AC62}"/>
    <w:embedBold r:id="rId5" w:fontKey="{7B58F0D9-D9B9-4D24-86D7-5D06AFBD4082}"/>
    <w:embedItalic r:id="rId6" w:fontKey="{BBA96740-5994-4866-BD27-C04D47803B43}"/>
  </w:font>
  <w:font w:name="Calibri Light">
    <w:panose1 w:val="020F0302020204030204"/>
    <w:charset w:val="A2"/>
    <w:family w:val="swiss"/>
    <w:pitch w:val="variable"/>
    <w:sig w:usb0="E4002EFF" w:usb1="C000247B" w:usb2="00000009" w:usb3="00000000" w:csb0="000001FF" w:csb1="00000000"/>
    <w:embedRegular r:id="rId7" w:fontKey="{E3B628CE-46D8-409A-8D22-226F80F013E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292F"/>
    <w:multiLevelType w:val="hybridMultilevel"/>
    <w:tmpl w:val="38384E52"/>
    <w:lvl w:ilvl="0" w:tplc="FF923E1C">
      <w:start w:val="1"/>
      <w:numFmt w:val="bullet"/>
      <w:lvlText w:val=""/>
      <w:lvlJc w:val="left"/>
      <w:pPr>
        <w:ind w:left="400" w:hanging="360"/>
      </w:pPr>
      <w:rPr>
        <w:rFonts w:ascii="Symbol" w:hAnsi="Symbol"/>
      </w:rPr>
    </w:lvl>
    <w:lvl w:ilvl="1" w:tplc="2E422922">
      <w:start w:val="1"/>
      <w:numFmt w:val="bullet"/>
      <w:lvlText w:val="o"/>
      <w:lvlJc w:val="left"/>
      <w:pPr>
        <w:ind w:left="800" w:hanging="360"/>
      </w:pPr>
      <w:rPr>
        <w:rFonts w:ascii="Courier New" w:hAnsi="Courier New"/>
      </w:rPr>
    </w:lvl>
    <w:lvl w:ilvl="2" w:tplc="69C08BEC">
      <w:start w:val="1"/>
      <w:numFmt w:val="bullet"/>
      <w:lvlText w:val=""/>
      <w:lvlJc w:val="left"/>
      <w:pPr>
        <w:ind w:left="1200" w:hanging="360"/>
      </w:pPr>
      <w:rPr>
        <w:rFonts w:ascii="Wingdings" w:hAnsi="Wingdings"/>
      </w:rPr>
    </w:lvl>
    <w:lvl w:ilvl="3" w:tplc="758CFEC8">
      <w:start w:val="1"/>
      <w:numFmt w:val="bullet"/>
      <w:lvlText w:val=""/>
      <w:lvlJc w:val="left"/>
      <w:pPr>
        <w:ind w:left="1600" w:hanging="360"/>
      </w:pPr>
      <w:rPr>
        <w:rFonts w:ascii="Symbol" w:hAnsi="Symbol"/>
      </w:rPr>
    </w:lvl>
    <w:lvl w:ilvl="4" w:tplc="E2C08CE0">
      <w:start w:val="1"/>
      <w:numFmt w:val="bullet"/>
      <w:lvlText w:val="o"/>
      <w:lvlJc w:val="left"/>
      <w:pPr>
        <w:ind w:left="2000" w:hanging="360"/>
      </w:pPr>
      <w:rPr>
        <w:rFonts w:ascii="Courier New" w:hAnsi="Courier New"/>
      </w:rPr>
    </w:lvl>
    <w:lvl w:ilvl="5" w:tplc="E854767A">
      <w:start w:val="1"/>
      <w:numFmt w:val="bullet"/>
      <w:lvlText w:val=""/>
      <w:lvlJc w:val="left"/>
      <w:pPr>
        <w:ind w:left="2400" w:hanging="360"/>
      </w:pPr>
      <w:rPr>
        <w:rFonts w:ascii="Wingdings" w:hAnsi="Wingdings"/>
      </w:rPr>
    </w:lvl>
    <w:lvl w:ilvl="6" w:tplc="8012AB44">
      <w:start w:val="1"/>
      <w:numFmt w:val="bullet"/>
      <w:lvlText w:val=""/>
      <w:lvlJc w:val="left"/>
      <w:pPr>
        <w:ind w:left="2800" w:hanging="360"/>
      </w:pPr>
      <w:rPr>
        <w:rFonts w:ascii="Symbol" w:hAnsi="Symbol"/>
      </w:rPr>
    </w:lvl>
    <w:lvl w:ilvl="7" w:tplc="F100391E">
      <w:start w:val="1"/>
      <w:numFmt w:val="bullet"/>
      <w:lvlText w:val="o"/>
      <w:lvlJc w:val="left"/>
      <w:pPr>
        <w:ind w:left="3200" w:hanging="360"/>
      </w:pPr>
      <w:rPr>
        <w:rFonts w:ascii="Courier New" w:hAnsi="Courier New"/>
      </w:rPr>
    </w:lvl>
    <w:lvl w:ilvl="8" w:tplc="83082964">
      <w:numFmt w:val="decimal"/>
      <w:lvlText w:val=""/>
      <w:lvlJc w:val="left"/>
    </w:lvl>
  </w:abstractNum>
  <w:abstractNum w:abstractNumId="1" w15:restartNumberingAfterBreak="0">
    <w:nsid w:val="09B16C93"/>
    <w:multiLevelType w:val="hybridMultilevel"/>
    <w:tmpl w:val="100CE440"/>
    <w:lvl w:ilvl="0" w:tplc="2B223430">
      <w:start w:val="1"/>
      <w:numFmt w:val="bullet"/>
      <w:lvlText w:val=""/>
      <w:lvlJc w:val="left"/>
      <w:pPr>
        <w:ind w:left="400" w:hanging="360"/>
      </w:pPr>
      <w:rPr>
        <w:rFonts w:ascii="Symbol" w:hAnsi="Symbol"/>
      </w:rPr>
    </w:lvl>
    <w:lvl w:ilvl="1" w:tplc="716CA04A">
      <w:start w:val="1"/>
      <w:numFmt w:val="bullet"/>
      <w:lvlText w:val="o"/>
      <w:lvlJc w:val="left"/>
      <w:pPr>
        <w:ind w:left="800" w:hanging="360"/>
      </w:pPr>
      <w:rPr>
        <w:rFonts w:ascii="Courier New" w:hAnsi="Courier New"/>
      </w:rPr>
    </w:lvl>
    <w:lvl w:ilvl="2" w:tplc="AE662EE4">
      <w:start w:val="1"/>
      <w:numFmt w:val="bullet"/>
      <w:lvlText w:val=""/>
      <w:lvlJc w:val="left"/>
      <w:pPr>
        <w:ind w:left="1200" w:hanging="360"/>
      </w:pPr>
      <w:rPr>
        <w:rFonts w:ascii="Wingdings" w:hAnsi="Wingdings"/>
      </w:rPr>
    </w:lvl>
    <w:lvl w:ilvl="3" w:tplc="3C90D456">
      <w:start w:val="1"/>
      <w:numFmt w:val="bullet"/>
      <w:lvlText w:val=""/>
      <w:lvlJc w:val="left"/>
      <w:pPr>
        <w:ind w:left="1600" w:hanging="360"/>
      </w:pPr>
      <w:rPr>
        <w:rFonts w:ascii="Symbol" w:hAnsi="Symbol"/>
      </w:rPr>
    </w:lvl>
    <w:lvl w:ilvl="4" w:tplc="7B5A88DC">
      <w:start w:val="1"/>
      <w:numFmt w:val="bullet"/>
      <w:lvlText w:val="o"/>
      <w:lvlJc w:val="left"/>
      <w:pPr>
        <w:ind w:left="2000" w:hanging="360"/>
      </w:pPr>
      <w:rPr>
        <w:rFonts w:ascii="Courier New" w:hAnsi="Courier New"/>
      </w:rPr>
    </w:lvl>
    <w:lvl w:ilvl="5" w:tplc="CC4AD592">
      <w:start w:val="1"/>
      <w:numFmt w:val="bullet"/>
      <w:lvlText w:val=""/>
      <w:lvlJc w:val="left"/>
      <w:pPr>
        <w:ind w:left="2400" w:hanging="360"/>
      </w:pPr>
      <w:rPr>
        <w:rFonts w:ascii="Wingdings" w:hAnsi="Wingdings"/>
      </w:rPr>
    </w:lvl>
    <w:lvl w:ilvl="6" w:tplc="C74895F2">
      <w:start w:val="1"/>
      <w:numFmt w:val="bullet"/>
      <w:lvlText w:val=""/>
      <w:lvlJc w:val="left"/>
      <w:pPr>
        <w:ind w:left="2800" w:hanging="360"/>
      </w:pPr>
      <w:rPr>
        <w:rFonts w:ascii="Symbol" w:hAnsi="Symbol"/>
      </w:rPr>
    </w:lvl>
    <w:lvl w:ilvl="7" w:tplc="E5D22592">
      <w:start w:val="1"/>
      <w:numFmt w:val="bullet"/>
      <w:lvlText w:val="o"/>
      <w:lvlJc w:val="left"/>
      <w:pPr>
        <w:ind w:left="3200" w:hanging="360"/>
      </w:pPr>
      <w:rPr>
        <w:rFonts w:ascii="Courier New" w:hAnsi="Courier New"/>
      </w:rPr>
    </w:lvl>
    <w:lvl w:ilvl="8" w:tplc="C1FA1282">
      <w:numFmt w:val="decimal"/>
      <w:lvlText w:val=""/>
      <w:lvlJc w:val="left"/>
    </w:lvl>
  </w:abstractNum>
  <w:abstractNum w:abstractNumId="2" w15:restartNumberingAfterBreak="0">
    <w:nsid w:val="169629B8"/>
    <w:multiLevelType w:val="hybridMultilevel"/>
    <w:tmpl w:val="799A8BEA"/>
    <w:lvl w:ilvl="0" w:tplc="0204BF0A">
      <w:start w:val="1"/>
      <w:numFmt w:val="bullet"/>
      <w:lvlText w:val=""/>
      <w:lvlJc w:val="left"/>
      <w:pPr>
        <w:ind w:left="400" w:hanging="360"/>
      </w:pPr>
      <w:rPr>
        <w:rFonts w:ascii="Symbol" w:hAnsi="Symbol"/>
      </w:rPr>
    </w:lvl>
    <w:lvl w:ilvl="1" w:tplc="93ACAB2E">
      <w:start w:val="1"/>
      <w:numFmt w:val="bullet"/>
      <w:lvlText w:val="o"/>
      <w:lvlJc w:val="left"/>
      <w:pPr>
        <w:ind w:left="800" w:hanging="360"/>
      </w:pPr>
      <w:rPr>
        <w:rFonts w:ascii="Courier New" w:hAnsi="Courier New"/>
      </w:rPr>
    </w:lvl>
    <w:lvl w:ilvl="2" w:tplc="B922FE64">
      <w:start w:val="1"/>
      <w:numFmt w:val="bullet"/>
      <w:lvlText w:val=""/>
      <w:lvlJc w:val="left"/>
      <w:pPr>
        <w:ind w:left="1200" w:hanging="360"/>
      </w:pPr>
      <w:rPr>
        <w:rFonts w:ascii="Wingdings" w:hAnsi="Wingdings"/>
      </w:rPr>
    </w:lvl>
    <w:lvl w:ilvl="3" w:tplc="DC462436">
      <w:start w:val="1"/>
      <w:numFmt w:val="bullet"/>
      <w:lvlText w:val=""/>
      <w:lvlJc w:val="left"/>
      <w:pPr>
        <w:ind w:left="1600" w:hanging="360"/>
      </w:pPr>
      <w:rPr>
        <w:rFonts w:ascii="Symbol" w:hAnsi="Symbol"/>
      </w:rPr>
    </w:lvl>
    <w:lvl w:ilvl="4" w:tplc="6DDC14A0">
      <w:start w:val="1"/>
      <w:numFmt w:val="bullet"/>
      <w:lvlText w:val="o"/>
      <w:lvlJc w:val="left"/>
      <w:pPr>
        <w:ind w:left="2000" w:hanging="360"/>
      </w:pPr>
      <w:rPr>
        <w:rFonts w:ascii="Courier New" w:hAnsi="Courier New"/>
      </w:rPr>
    </w:lvl>
    <w:lvl w:ilvl="5" w:tplc="947A8B5E">
      <w:start w:val="1"/>
      <w:numFmt w:val="bullet"/>
      <w:lvlText w:val=""/>
      <w:lvlJc w:val="left"/>
      <w:pPr>
        <w:ind w:left="2400" w:hanging="360"/>
      </w:pPr>
      <w:rPr>
        <w:rFonts w:ascii="Wingdings" w:hAnsi="Wingdings"/>
      </w:rPr>
    </w:lvl>
    <w:lvl w:ilvl="6" w:tplc="F6744E48">
      <w:start w:val="1"/>
      <w:numFmt w:val="bullet"/>
      <w:lvlText w:val=""/>
      <w:lvlJc w:val="left"/>
      <w:pPr>
        <w:ind w:left="2800" w:hanging="360"/>
      </w:pPr>
      <w:rPr>
        <w:rFonts w:ascii="Symbol" w:hAnsi="Symbol"/>
      </w:rPr>
    </w:lvl>
    <w:lvl w:ilvl="7" w:tplc="ACCEF4A2">
      <w:start w:val="1"/>
      <w:numFmt w:val="bullet"/>
      <w:lvlText w:val="o"/>
      <w:lvlJc w:val="left"/>
      <w:pPr>
        <w:ind w:left="3200" w:hanging="360"/>
      </w:pPr>
      <w:rPr>
        <w:rFonts w:ascii="Courier New" w:hAnsi="Courier New"/>
      </w:rPr>
    </w:lvl>
    <w:lvl w:ilvl="8" w:tplc="AA945CC4">
      <w:numFmt w:val="decimal"/>
      <w:lvlText w:val=""/>
      <w:lvlJc w:val="left"/>
    </w:lvl>
  </w:abstractNum>
  <w:abstractNum w:abstractNumId="3" w15:restartNumberingAfterBreak="0">
    <w:nsid w:val="22C77281"/>
    <w:multiLevelType w:val="hybridMultilevel"/>
    <w:tmpl w:val="08341E1E"/>
    <w:lvl w:ilvl="0" w:tplc="D7E639CA">
      <w:start w:val="1"/>
      <w:numFmt w:val="bullet"/>
      <w:lvlText w:val=""/>
      <w:lvlJc w:val="left"/>
      <w:pPr>
        <w:ind w:left="400" w:hanging="360"/>
      </w:pPr>
      <w:rPr>
        <w:rFonts w:ascii="Symbol" w:hAnsi="Symbol"/>
      </w:rPr>
    </w:lvl>
    <w:lvl w:ilvl="1" w:tplc="5B64A210">
      <w:start w:val="1"/>
      <w:numFmt w:val="bullet"/>
      <w:lvlText w:val="o"/>
      <w:lvlJc w:val="left"/>
      <w:pPr>
        <w:ind w:left="800" w:hanging="360"/>
      </w:pPr>
      <w:rPr>
        <w:rFonts w:ascii="Courier New" w:hAnsi="Courier New"/>
      </w:rPr>
    </w:lvl>
    <w:lvl w:ilvl="2" w:tplc="EABA663A">
      <w:start w:val="1"/>
      <w:numFmt w:val="bullet"/>
      <w:lvlText w:val=""/>
      <w:lvlJc w:val="left"/>
      <w:pPr>
        <w:ind w:left="1200" w:hanging="360"/>
      </w:pPr>
      <w:rPr>
        <w:rFonts w:ascii="Wingdings" w:hAnsi="Wingdings"/>
      </w:rPr>
    </w:lvl>
    <w:lvl w:ilvl="3" w:tplc="2FC2AB2C">
      <w:start w:val="1"/>
      <w:numFmt w:val="bullet"/>
      <w:lvlText w:val=""/>
      <w:lvlJc w:val="left"/>
      <w:pPr>
        <w:ind w:left="1600" w:hanging="360"/>
      </w:pPr>
      <w:rPr>
        <w:rFonts w:ascii="Symbol" w:hAnsi="Symbol"/>
      </w:rPr>
    </w:lvl>
    <w:lvl w:ilvl="4" w:tplc="403461CE">
      <w:start w:val="1"/>
      <w:numFmt w:val="bullet"/>
      <w:lvlText w:val="o"/>
      <w:lvlJc w:val="left"/>
      <w:pPr>
        <w:ind w:left="2000" w:hanging="360"/>
      </w:pPr>
      <w:rPr>
        <w:rFonts w:ascii="Courier New" w:hAnsi="Courier New"/>
      </w:rPr>
    </w:lvl>
    <w:lvl w:ilvl="5" w:tplc="B2A27DD0">
      <w:start w:val="1"/>
      <w:numFmt w:val="bullet"/>
      <w:lvlText w:val=""/>
      <w:lvlJc w:val="left"/>
      <w:pPr>
        <w:ind w:left="2400" w:hanging="360"/>
      </w:pPr>
      <w:rPr>
        <w:rFonts w:ascii="Wingdings" w:hAnsi="Wingdings"/>
      </w:rPr>
    </w:lvl>
    <w:lvl w:ilvl="6" w:tplc="1884F8D6">
      <w:start w:val="1"/>
      <w:numFmt w:val="bullet"/>
      <w:lvlText w:val=""/>
      <w:lvlJc w:val="left"/>
      <w:pPr>
        <w:ind w:left="2800" w:hanging="360"/>
      </w:pPr>
      <w:rPr>
        <w:rFonts w:ascii="Symbol" w:hAnsi="Symbol"/>
      </w:rPr>
    </w:lvl>
    <w:lvl w:ilvl="7" w:tplc="C4E4DA7C">
      <w:start w:val="1"/>
      <w:numFmt w:val="bullet"/>
      <w:lvlText w:val="o"/>
      <w:lvlJc w:val="left"/>
      <w:pPr>
        <w:ind w:left="3200" w:hanging="360"/>
      </w:pPr>
      <w:rPr>
        <w:rFonts w:ascii="Courier New" w:hAnsi="Courier New"/>
      </w:rPr>
    </w:lvl>
    <w:lvl w:ilvl="8" w:tplc="7222274C">
      <w:numFmt w:val="decimal"/>
      <w:lvlText w:val=""/>
      <w:lvlJc w:val="left"/>
    </w:lvl>
  </w:abstractNum>
  <w:abstractNum w:abstractNumId="4" w15:restartNumberingAfterBreak="0">
    <w:nsid w:val="24D35EB3"/>
    <w:multiLevelType w:val="hybridMultilevel"/>
    <w:tmpl w:val="A2CCFC38"/>
    <w:lvl w:ilvl="0" w:tplc="7FB4B54A">
      <w:start w:val="1"/>
      <w:numFmt w:val="bullet"/>
      <w:lvlText w:val=""/>
      <w:lvlJc w:val="left"/>
      <w:pPr>
        <w:ind w:left="400" w:hanging="360"/>
      </w:pPr>
      <w:rPr>
        <w:rFonts w:ascii="Symbol" w:hAnsi="Symbol"/>
      </w:rPr>
    </w:lvl>
    <w:lvl w:ilvl="1" w:tplc="52945E6E">
      <w:start w:val="1"/>
      <w:numFmt w:val="bullet"/>
      <w:lvlText w:val="o"/>
      <w:lvlJc w:val="left"/>
      <w:pPr>
        <w:ind w:left="800" w:hanging="360"/>
      </w:pPr>
      <w:rPr>
        <w:rFonts w:ascii="Courier New" w:hAnsi="Courier New"/>
      </w:rPr>
    </w:lvl>
    <w:lvl w:ilvl="2" w:tplc="F73EA512">
      <w:start w:val="1"/>
      <w:numFmt w:val="bullet"/>
      <w:lvlText w:val=""/>
      <w:lvlJc w:val="left"/>
      <w:pPr>
        <w:ind w:left="1200" w:hanging="360"/>
      </w:pPr>
      <w:rPr>
        <w:rFonts w:ascii="Wingdings" w:hAnsi="Wingdings"/>
      </w:rPr>
    </w:lvl>
    <w:lvl w:ilvl="3" w:tplc="0CEC2598">
      <w:start w:val="1"/>
      <w:numFmt w:val="bullet"/>
      <w:lvlText w:val=""/>
      <w:lvlJc w:val="left"/>
      <w:pPr>
        <w:ind w:left="1600" w:hanging="360"/>
      </w:pPr>
      <w:rPr>
        <w:rFonts w:ascii="Symbol" w:hAnsi="Symbol"/>
      </w:rPr>
    </w:lvl>
    <w:lvl w:ilvl="4" w:tplc="9264A430">
      <w:start w:val="1"/>
      <w:numFmt w:val="bullet"/>
      <w:lvlText w:val="o"/>
      <w:lvlJc w:val="left"/>
      <w:pPr>
        <w:ind w:left="2000" w:hanging="360"/>
      </w:pPr>
      <w:rPr>
        <w:rFonts w:ascii="Courier New" w:hAnsi="Courier New"/>
      </w:rPr>
    </w:lvl>
    <w:lvl w:ilvl="5" w:tplc="76ECACC8">
      <w:start w:val="1"/>
      <w:numFmt w:val="bullet"/>
      <w:lvlText w:val=""/>
      <w:lvlJc w:val="left"/>
      <w:pPr>
        <w:ind w:left="2400" w:hanging="360"/>
      </w:pPr>
      <w:rPr>
        <w:rFonts w:ascii="Wingdings" w:hAnsi="Wingdings"/>
      </w:rPr>
    </w:lvl>
    <w:lvl w:ilvl="6" w:tplc="28C8F1B0">
      <w:start w:val="1"/>
      <w:numFmt w:val="bullet"/>
      <w:lvlText w:val=""/>
      <w:lvlJc w:val="left"/>
      <w:pPr>
        <w:ind w:left="2800" w:hanging="360"/>
      </w:pPr>
      <w:rPr>
        <w:rFonts w:ascii="Symbol" w:hAnsi="Symbol"/>
      </w:rPr>
    </w:lvl>
    <w:lvl w:ilvl="7" w:tplc="704468BA">
      <w:start w:val="1"/>
      <w:numFmt w:val="bullet"/>
      <w:lvlText w:val="o"/>
      <w:lvlJc w:val="left"/>
      <w:pPr>
        <w:ind w:left="3200" w:hanging="360"/>
      </w:pPr>
      <w:rPr>
        <w:rFonts w:ascii="Courier New" w:hAnsi="Courier New"/>
      </w:rPr>
    </w:lvl>
    <w:lvl w:ilvl="8" w:tplc="1B8C2142">
      <w:numFmt w:val="decimal"/>
      <w:lvlText w:val=""/>
      <w:lvlJc w:val="left"/>
    </w:lvl>
  </w:abstractNum>
  <w:abstractNum w:abstractNumId="5" w15:restartNumberingAfterBreak="0">
    <w:nsid w:val="26CE5E06"/>
    <w:multiLevelType w:val="hybridMultilevel"/>
    <w:tmpl w:val="D0889862"/>
    <w:lvl w:ilvl="0" w:tplc="4BEE7736">
      <w:start w:val="1"/>
      <w:numFmt w:val="bullet"/>
      <w:lvlText w:val=""/>
      <w:lvlJc w:val="left"/>
      <w:pPr>
        <w:ind w:left="400" w:hanging="360"/>
      </w:pPr>
      <w:rPr>
        <w:rFonts w:ascii="Symbol" w:hAnsi="Symbol"/>
      </w:rPr>
    </w:lvl>
    <w:lvl w:ilvl="1" w:tplc="EC96B38A">
      <w:start w:val="1"/>
      <w:numFmt w:val="bullet"/>
      <w:lvlText w:val="o"/>
      <w:lvlJc w:val="left"/>
      <w:pPr>
        <w:ind w:left="800" w:hanging="360"/>
      </w:pPr>
      <w:rPr>
        <w:rFonts w:ascii="Courier New" w:hAnsi="Courier New"/>
      </w:rPr>
    </w:lvl>
    <w:lvl w:ilvl="2" w:tplc="244A9F98">
      <w:start w:val="1"/>
      <w:numFmt w:val="bullet"/>
      <w:lvlText w:val=""/>
      <w:lvlJc w:val="left"/>
      <w:pPr>
        <w:ind w:left="1200" w:hanging="360"/>
      </w:pPr>
      <w:rPr>
        <w:rFonts w:ascii="Wingdings" w:hAnsi="Wingdings"/>
      </w:rPr>
    </w:lvl>
    <w:lvl w:ilvl="3" w:tplc="0DDAA34A">
      <w:start w:val="1"/>
      <w:numFmt w:val="bullet"/>
      <w:lvlText w:val=""/>
      <w:lvlJc w:val="left"/>
      <w:pPr>
        <w:ind w:left="1600" w:hanging="360"/>
      </w:pPr>
      <w:rPr>
        <w:rFonts w:ascii="Symbol" w:hAnsi="Symbol"/>
      </w:rPr>
    </w:lvl>
    <w:lvl w:ilvl="4" w:tplc="DAE638CC">
      <w:start w:val="1"/>
      <w:numFmt w:val="bullet"/>
      <w:lvlText w:val="o"/>
      <w:lvlJc w:val="left"/>
      <w:pPr>
        <w:ind w:left="2000" w:hanging="360"/>
      </w:pPr>
      <w:rPr>
        <w:rFonts w:ascii="Courier New" w:hAnsi="Courier New"/>
      </w:rPr>
    </w:lvl>
    <w:lvl w:ilvl="5" w:tplc="792C069A">
      <w:start w:val="1"/>
      <w:numFmt w:val="bullet"/>
      <w:lvlText w:val=""/>
      <w:lvlJc w:val="left"/>
      <w:pPr>
        <w:ind w:left="2400" w:hanging="360"/>
      </w:pPr>
      <w:rPr>
        <w:rFonts w:ascii="Wingdings" w:hAnsi="Wingdings"/>
      </w:rPr>
    </w:lvl>
    <w:lvl w:ilvl="6" w:tplc="86445746">
      <w:start w:val="1"/>
      <w:numFmt w:val="bullet"/>
      <w:lvlText w:val=""/>
      <w:lvlJc w:val="left"/>
      <w:pPr>
        <w:ind w:left="2800" w:hanging="360"/>
      </w:pPr>
      <w:rPr>
        <w:rFonts w:ascii="Symbol" w:hAnsi="Symbol"/>
      </w:rPr>
    </w:lvl>
    <w:lvl w:ilvl="7" w:tplc="7930C418">
      <w:start w:val="1"/>
      <w:numFmt w:val="bullet"/>
      <w:lvlText w:val="o"/>
      <w:lvlJc w:val="left"/>
      <w:pPr>
        <w:ind w:left="3200" w:hanging="360"/>
      </w:pPr>
      <w:rPr>
        <w:rFonts w:ascii="Courier New" w:hAnsi="Courier New"/>
      </w:rPr>
    </w:lvl>
    <w:lvl w:ilvl="8" w:tplc="73E23B36">
      <w:numFmt w:val="decimal"/>
      <w:lvlText w:val=""/>
      <w:lvlJc w:val="left"/>
    </w:lvl>
  </w:abstractNum>
  <w:abstractNum w:abstractNumId="6" w15:restartNumberingAfterBreak="0">
    <w:nsid w:val="35A25307"/>
    <w:multiLevelType w:val="hybridMultilevel"/>
    <w:tmpl w:val="ED1CEECA"/>
    <w:lvl w:ilvl="0" w:tplc="4EDA8E6C">
      <w:start w:val="1"/>
      <w:numFmt w:val="bullet"/>
      <w:lvlText w:val=""/>
      <w:lvlJc w:val="left"/>
      <w:pPr>
        <w:ind w:left="400" w:hanging="360"/>
      </w:pPr>
      <w:rPr>
        <w:rFonts w:ascii="Symbol" w:hAnsi="Symbol"/>
      </w:rPr>
    </w:lvl>
    <w:lvl w:ilvl="1" w:tplc="376A5D60">
      <w:start w:val="1"/>
      <w:numFmt w:val="bullet"/>
      <w:lvlText w:val="o"/>
      <w:lvlJc w:val="left"/>
      <w:pPr>
        <w:ind w:left="800" w:hanging="360"/>
      </w:pPr>
      <w:rPr>
        <w:rFonts w:ascii="Courier New" w:hAnsi="Courier New"/>
      </w:rPr>
    </w:lvl>
    <w:lvl w:ilvl="2" w:tplc="95B604E2">
      <w:start w:val="1"/>
      <w:numFmt w:val="bullet"/>
      <w:lvlText w:val=""/>
      <w:lvlJc w:val="left"/>
      <w:pPr>
        <w:ind w:left="1200" w:hanging="360"/>
      </w:pPr>
      <w:rPr>
        <w:rFonts w:ascii="Wingdings" w:hAnsi="Wingdings"/>
      </w:rPr>
    </w:lvl>
    <w:lvl w:ilvl="3" w:tplc="9104B0EC">
      <w:start w:val="1"/>
      <w:numFmt w:val="bullet"/>
      <w:lvlText w:val=""/>
      <w:lvlJc w:val="left"/>
      <w:pPr>
        <w:ind w:left="1600" w:hanging="360"/>
      </w:pPr>
      <w:rPr>
        <w:rFonts w:ascii="Symbol" w:hAnsi="Symbol"/>
      </w:rPr>
    </w:lvl>
    <w:lvl w:ilvl="4" w:tplc="016CFE3E">
      <w:start w:val="1"/>
      <w:numFmt w:val="bullet"/>
      <w:lvlText w:val="o"/>
      <w:lvlJc w:val="left"/>
      <w:pPr>
        <w:ind w:left="2000" w:hanging="360"/>
      </w:pPr>
      <w:rPr>
        <w:rFonts w:ascii="Courier New" w:hAnsi="Courier New"/>
      </w:rPr>
    </w:lvl>
    <w:lvl w:ilvl="5" w:tplc="314C85DC">
      <w:start w:val="1"/>
      <w:numFmt w:val="bullet"/>
      <w:lvlText w:val=""/>
      <w:lvlJc w:val="left"/>
      <w:pPr>
        <w:ind w:left="2400" w:hanging="360"/>
      </w:pPr>
      <w:rPr>
        <w:rFonts w:ascii="Wingdings" w:hAnsi="Wingdings"/>
      </w:rPr>
    </w:lvl>
    <w:lvl w:ilvl="6" w:tplc="EF981FE2">
      <w:start w:val="1"/>
      <w:numFmt w:val="bullet"/>
      <w:lvlText w:val=""/>
      <w:lvlJc w:val="left"/>
      <w:pPr>
        <w:ind w:left="2800" w:hanging="360"/>
      </w:pPr>
      <w:rPr>
        <w:rFonts w:ascii="Symbol" w:hAnsi="Symbol"/>
      </w:rPr>
    </w:lvl>
    <w:lvl w:ilvl="7" w:tplc="AA2AB366">
      <w:start w:val="1"/>
      <w:numFmt w:val="bullet"/>
      <w:lvlText w:val="o"/>
      <w:lvlJc w:val="left"/>
      <w:pPr>
        <w:ind w:left="3200" w:hanging="360"/>
      </w:pPr>
      <w:rPr>
        <w:rFonts w:ascii="Courier New" w:hAnsi="Courier New"/>
      </w:rPr>
    </w:lvl>
    <w:lvl w:ilvl="8" w:tplc="F9143C6A">
      <w:numFmt w:val="decimal"/>
      <w:lvlText w:val=""/>
      <w:lvlJc w:val="left"/>
    </w:lvl>
  </w:abstractNum>
  <w:abstractNum w:abstractNumId="7" w15:restartNumberingAfterBreak="0">
    <w:nsid w:val="3B4E522B"/>
    <w:multiLevelType w:val="hybridMultilevel"/>
    <w:tmpl w:val="1E4A7CD4"/>
    <w:lvl w:ilvl="0" w:tplc="3618B590">
      <w:start w:val="1"/>
      <w:numFmt w:val="bullet"/>
      <w:lvlText w:val=""/>
      <w:lvlJc w:val="left"/>
      <w:pPr>
        <w:ind w:left="400" w:hanging="360"/>
      </w:pPr>
      <w:rPr>
        <w:rFonts w:ascii="Symbol" w:hAnsi="Symbol"/>
      </w:rPr>
    </w:lvl>
    <w:lvl w:ilvl="1" w:tplc="0D302FF8">
      <w:start w:val="1"/>
      <w:numFmt w:val="bullet"/>
      <w:lvlText w:val="o"/>
      <w:lvlJc w:val="left"/>
      <w:pPr>
        <w:ind w:left="800" w:hanging="360"/>
      </w:pPr>
      <w:rPr>
        <w:rFonts w:ascii="Courier New" w:hAnsi="Courier New"/>
      </w:rPr>
    </w:lvl>
    <w:lvl w:ilvl="2" w:tplc="A3B83426">
      <w:start w:val="1"/>
      <w:numFmt w:val="bullet"/>
      <w:lvlText w:val=""/>
      <w:lvlJc w:val="left"/>
      <w:pPr>
        <w:ind w:left="1200" w:hanging="360"/>
      </w:pPr>
      <w:rPr>
        <w:rFonts w:ascii="Wingdings" w:hAnsi="Wingdings"/>
      </w:rPr>
    </w:lvl>
    <w:lvl w:ilvl="3" w:tplc="1174FAC0">
      <w:start w:val="1"/>
      <w:numFmt w:val="bullet"/>
      <w:lvlText w:val=""/>
      <w:lvlJc w:val="left"/>
      <w:pPr>
        <w:ind w:left="1600" w:hanging="360"/>
      </w:pPr>
      <w:rPr>
        <w:rFonts w:ascii="Symbol" w:hAnsi="Symbol"/>
      </w:rPr>
    </w:lvl>
    <w:lvl w:ilvl="4" w:tplc="65448080">
      <w:start w:val="1"/>
      <w:numFmt w:val="bullet"/>
      <w:lvlText w:val="o"/>
      <w:lvlJc w:val="left"/>
      <w:pPr>
        <w:ind w:left="2000" w:hanging="360"/>
      </w:pPr>
      <w:rPr>
        <w:rFonts w:ascii="Courier New" w:hAnsi="Courier New"/>
      </w:rPr>
    </w:lvl>
    <w:lvl w:ilvl="5" w:tplc="2730E336">
      <w:start w:val="1"/>
      <w:numFmt w:val="bullet"/>
      <w:lvlText w:val=""/>
      <w:lvlJc w:val="left"/>
      <w:pPr>
        <w:ind w:left="2400" w:hanging="360"/>
      </w:pPr>
      <w:rPr>
        <w:rFonts w:ascii="Wingdings" w:hAnsi="Wingdings"/>
      </w:rPr>
    </w:lvl>
    <w:lvl w:ilvl="6" w:tplc="4C1E85E2">
      <w:start w:val="1"/>
      <w:numFmt w:val="bullet"/>
      <w:lvlText w:val=""/>
      <w:lvlJc w:val="left"/>
      <w:pPr>
        <w:ind w:left="2800" w:hanging="360"/>
      </w:pPr>
      <w:rPr>
        <w:rFonts w:ascii="Symbol" w:hAnsi="Symbol"/>
      </w:rPr>
    </w:lvl>
    <w:lvl w:ilvl="7" w:tplc="91305698">
      <w:start w:val="1"/>
      <w:numFmt w:val="bullet"/>
      <w:lvlText w:val="o"/>
      <w:lvlJc w:val="left"/>
      <w:pPr>
        <w:ind w:left="3200" w:hanging="360"/>
      </w:pPr>
      <w:rPr>
        <w:rFonts w:ascii="Courier New" w:hAnsi="Courier New"/>
      </w:rPr>
    </w:lvl>
    <w:lvl w:ilvl="8" w:tplc="803AB598">
      <w:numFmt w:val="decimal"/>
      <w:lvlText w:val=""/>
      <w:lvlJc w:val="left"/>
    </w:lvl>
  </w:abstractNum>
  <w:abstractNum w:abstractNumId="8" w15:restartNumberingAfterBreak="0">
    <w:nsid w:val="7A1F4FF7"/>
    <w:multiLevelType w:val="hybridMultilevel"/>
    <w:tmpl w:val="E21AAE26"/>
    <w:lvl w:ilvl="0" w:tplc="9560E8D0">
      <w:start w:val="1"/>
      <w:numFmt w:val="bullet"/>
      <w:lvlText w:val=""/>
      <w:lvlJc w:val="left"/>
      <w:pPr>
        <w:ind w:left="400" w:hanging="360"/>
      </w:pPr>
      <w:rPr>
        <w:rFonts w:ascii="Symbol" w:hAnsi="Symbol"/>
      </w:rPr>
    </w:lvl>
    <w:lvl w:ilvl="1" w:tplc="2762629E">
      <w:start w:val="1"/>
      <w:numFmt w:val="bullet"/>
      <w:lvlText w:val="o"/>
      <w:lvlJc w:val="left"/>
      <w:pPr>
        <w:ind w:left="800" w:hanging="360"/>
      </w:pPr>
      <w:rPr>
        <w:rFonts w:ascii="Courier New" w:hAnsi="Courier New"/>
      </w:rPr>
    </w:lvl>
    <w:lvl w:ilvl="2" w:tplc="BB28902C">
      <w:start w:val="1"/>
      <w:numFmt w:val="bullet"/>
      <w:lvlText w:val=""/>
      <w:lvlJc w:val="left"/>
      <w:pPr>
        <w:ind w:left="1200" w:hanging="360"/>
      </w:pPr>
      <w:rPr>
        <w:rFonts w:ascii="Wingdings" w:hAnsi="Wingdings"/>
      </w:rPr>
    </w:lvl>
    <w:lvl w:ilvl="3" w:tplc="907A0AC4">
      <w:start w:val="1"/>
      <w:numFmt w:val="bullet"/>
      <w:lvlText w:val=""/>
      <w:lvlJc w:val="left"/>
      <w:pPr>
        <w:ind w:left="1600" w:hanging="360"/>
      </w:pPr>
      <w:rPr>
        <w:rFonts w:ascii="Symbol" w:hAnsi="Symbol"/>
      </w:rPr>
    </w:lvl>
    <w:lvl w:ilvl="4" w:tplc="790A0E2E">
      <w:start w:val="1"/>
      <w:numFmt w:val="bullet"/>
      <w:lvlText w:val="o"/>
      <w:lvlJc w:val="left"/>
      <w:pPr>
        <w:ind w:left="2000" w:hanging="360"/>
      </w:pPr>
      <w:rPr>
        <w:rFonts w:ascii="Courier New" w:hAnsi="Courier New"/>
      </w:rPr>
    </w:lvl>
    <w:lvl w:ilvl="5" w:tplc="422AA3DE">
      <w:start w:val="1"/>
      <w:numFmt w:val="bullet"/>
      <w:lvlText w:val=""/>
      <w:lvlJc w:val="left"/>
      <w:pPr>
        <w:ind w:left="2400" w:hanging="360"/>
      </w:pPr>
      <w:rPr>
        <w:rFonts w:ascii="Wingdings" w:hAnsi="Wingdings"/>
      </w:rPr>
    </w:lvl>
    <w:lvl w:ilvl="6" w:tplc="1C761E84">
      <w:start w:val="1"/>
      <w:numFmt w:val="bullet"/>
      <w:lvlText w:val=""/>
      <w:lvlJc w:val="left"/>
      <w:pPr>
        <w:ind w:left="2800" w:hanging="360"/>
      </w:pPr>
      <w:rPr>
        <w:rFonts w:ascii="Symbol" w:hAnsi="Symbol"/>
      </w:rPr>
    </w:lvl>
    <w:lvl w:ilvl="7" w:tplc="226E25AC">
      <w:start w:val="1"/>
      <w:numFmt w:val="bullet"/>
      <w:lvlText w:val="o"/>
      <w:lvlJc w:val="left"/>
      <w:pPr>
        <w:ind w:left="3200" w:hanging="360"/>
      </w:pPr>
      <w:rPr>
        <w:rFonts w:ascii="Courier New" w:hAnsi="Courier New"/>
      </w:rPr>
    </w:lvl>
    <w:lvl w:ilvl="8" w:tplc="85C2E6C8">
      <w:numFmt w:val="decimal"/>
      <w:lvlText w:val=""/>
      <w:lvlJc w:val="left"/>
    </w:lvl>
  </w:abstractNum>
  <w:abstractNum w:abstractNumId="9" w15:restartNumberingAfterBreak="0">
    <w:nsid w:val="7CDC5876"/>
    <w:multiLevelType w:val="hybridMultilevel"/>
    <w:tmpl w:val="E580F11E"/>
    <w:lvl w:ilvl="0" w:tplc="BF8E223A">
      <w:start w:val="1"/>
      <w:numFmt w:val="bullet"/>
      <w:lvlText w:val=""/>
      <w:lvlJc w:val="left"/>
      <w:pPr>
        <w:ind w:left="400" w:hanging="360"/>
      </w:pPr>
      <w:rPr>
        <w:rFonts w:ascii="Symbol" w:hAnsi="Symbol"/>
      </w:rPr>
    </w:lvl>
    <w:lvl w:ilvl="1" w:tplc="4E103AA6">
      <w:start w:val="1"/>
      <w:numFmt w:val="bullet"/>
      <w:lvlText w:val="o"/>
      <w:lvlJc w:val="left"/>
      <w:pPr>
        <w:ind w:left="800" w:hanging="360"/>
      </w:pPr>
      <w:rPr>
        <w:rFonts w:ascii="Courier New" w:hAnsi="Courier New"/>
      </w:rPr>
    </w:lvl>
    <w:lvl w:ilvl="2" w:tplc="5ED22A7E">
      <w:start w:val="1"/>
      <w:numFmt w:val="bullet"/>
      <w:lvlText w:val=""/>
      <w:lvlJc w:val="left"/>
      <w:pPr>
        <w:ind w:left="1200" w:hanging="360"/>
      </w:pPr>
      <w:rPr>
        <w:rFonts w:ascii="Wingdings" w:hAnsi="Wingdings"/>
      </w:rPr>
    </w:lvl>
    <w:lvl w:ilvl="3" w:tplc="7FBCD73A">
      <w:start w:val="1"/>
      <w:numFmt w:val="bullet"/>
      <w:lvlText w:val=""/>
      <w:lvlJc w:val="left"/>
      <w:pPr>
        <w:ind w:left="1600" w:hanging="360"/>
      </w:pPr>
      <w:rPr>
        <w:rFonts w:ascii="Symbol" w:hAnsi="Symbol"/>
      </w:rPr>
    </w:lvl>
    <w:lvl w:ilvl="4" w:tplc="8668B844">
      <w:start w:val="1"/>
      <w:numFmt w:val="bullet"/>
      <w:lvlText w:val="o"/>
      <w:lvlJc w:val="left"/>
      <w:pPr>
        <w:ind w:left="2000" w:hanging="360"/>
      </w:pPr>
      <w:rPr>
        <w:rFonts w:ascii="Courier New" w:hAnsi="Courier New"/>
      </w:rPr>
    </w:lvl>
    <w:lvl w:ilvl="5" w:tplc="82E881BA">
      <w:start w:val="1"/>
      <w:numFmt w:val="bullet"/>
      <w:lvlText w:val=""/>
      <w:lvlJc w:val="left"/>
      <w:pPr>
        <w:ind w:left="2400" w:hanging="360"/>
      </w:pPr>
      <w:rPr>
        <w:rFonts w:ascii="Wingdings" w:hAnsi="Wingdings"/>
      </w:rPr>
    </w:lvl>
    <w:lvl w:ilvl="6" w:tplc="3F249458">
      <w:start w:val="1"/>
      <w:numFmt w:val="bullet"/>
      <w:lvlText w:val=""/>
      <w:lvlJc w:val="left"/>
      <w:pPr>
        <w:ind w:left="2800" w:hanging="360"/>
      </w:pPr>
      <w:rPr>
        <w:rFonts w:ascii="Symbol" w:hAnsi="Symbol"/>
      </w:rPr>
    </w:lvl>
    <w:lvl w:ilvl="7" w:tplc="9914148C">
      <w:start w:val="1"/>
      <w:numFmt w:val="bullet"/>
      <w:lvlText w:val="o"/>
      <w:lvlJc w:val="left"/>
      <w:pPr>
        <w:ind w:left="3200" w:hanging="360"/>
      </w:pPr>
      <w:rPr>
        <w:rFonts w:ascii="Courier New" w:hAnsi="Courier New"/>
      </w:rPr>
    </w:lvl>
    <w:lvl w:ilvl="8" w:tplc="93C689CA">
      <w:numFmt w:val="decimal"/>
      <w:lvlText w:val=""/>
      <w:lvlJc w:val="left"/>
    </w:lvl>
  </w:abstractNum>
  <w:num w:numId="1">
    <w:abstractNumId w:val="1"/>
  </w:num>
  <w:num w:numId="2">
    <w:abstractNumId w:val="4"/>
  </w:num>
  <w:num w:numId="3">
    <w:abstractNumId w:val="3"/>
  </w:num>
  <w:num w:numId="4">
    <w:abstractNumId w:val="9"/>
  </w:num>
  <w:num w:numId="5">
    <w:abstractNumId w:val="7"/>
  </w:num>
  <w:num w:numId="6">
    <w:abstractNumId w:val="2"/>
  </w:num>
  <w:num w:numId="7">
    <w:abstractNumId w:val="5"/>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0D3"/>
    <w:rsid w:val="000B60D3"/>
    <w:rsid w:val="003E12C0"/>
    <w:rsid w:val="00405E23"/>
    <w:rsid w:val="006C4676"/>
    <w:rsid w:val="00903F90"/>
    <w:rsid w:val="00A462F8"/>
    <w:rsid w:val="00E207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8CB69"/>
  <w15:docId w15:val="{3D395B13-DF05-493B-BC78-2414E0F3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46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2910</Words>
  <Characters>16588</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T.C.Adalet Bakanlığı</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RAMAZAN KUL 158781</cp:lastModifiedBy>
  <cp:revision>3</cp:revision>
  <cp:lastPrinted>2024-11-25T07:18:00Z</cp:lastPrinted>
  <dcterms:created xsi:type="dcterms:W3CDTF">2024-11-25T07:18:00Z</dcterms:created>
  <dcterms:modified xsi:type="dcterms:W3CDTF">2024-11-25T07:19:00Z</dcterms:modified>
</cp:coreProperties>
</file>